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AD766">
      <w:pPr>
        <w:pStyle w:val="14"/>
        <w:spacing w:after="180"/>
        <w:rPr>
          <w:rFonts w:ascii="Arial" w:hAnsi="Arial" w:cs="Arial"/>
          <w:sz w:val="28"/>
        </w:rPr>
      </w:pPr>
      <w:r>
        <w:rPr>
          <w:rFonts w:ascii="Arial" w:hAnsi="Arial" w:cs="Arial"/>
          <w:sz w:val="28"/>
        </w:rPr>
        <w:t>Failure Mechanism and Material System Collaborative Optimization of AMOLED Modules Under Back Impact</w:t>
      </w:r>
    </w:p>
    <w:p w14:paraId="08664B29">
      <w:pPr>
        <w:pStyle w:val="24"/>
        <w:spacing w:after="40"/>
        <w:rPr>
          <w:rFonts w:ascii="Arial" w:hAnsi="Arial" w:eastAsia="Malgun Gothic" w:cs="Arial"/>
        </w:rPr>
      </w:pPr>
      <w:r>
        <w:rPr>
          <w:rFonts w:ascii="Arial" w:hAnsi="Arial" w:cs="Arial"/>
        </w:rPr>
        <w:t>Yaling Wang, Ying Shen, Mingxing Liu, Fang Zhang, WeiLi, Xuelin Fan</w:t>
      </w:r>
    </w:p>
    <w:p w14:paraId="575E14F9">
      <w:pPr>
        <w:spacing w:after="40"/>
        <w:contextualSpacing/>
        <w:jc w:val="center"/>
        <w:rPr>
          <w:rFonts w:ascii="Arial" w:hAnsi="Arial" w:cs="Arial"/>
          <w:b/>
          <w:sz w:val="20"/>
        </w:rPr>
      </w:pPr>
      <w:r>
        <w:rPr>
          <w:rFonts w:hint="eastAsia" w:ascii="Arial" w:hAnsi="Arial" w:cs="Arial"/>
          <w:b/>
          <w:sz w:val="20"/>
        </w:rPr>
        <w:t xml:space="preserve">Yungu (Gu'an) Technology Co., Ltd. </w:t>
      </w:r>
      <w:r>
        <w:rPr>
          <w:rFonts w:hint="eastAsia" w:ascii="Arial" w:hAnsi="Arial" w:cs="Arial"/>
          <w:b/>
          <w:sz w:val="20"/>
          <w:lang w:eastAsia="zh-CN"/>
        </w:rPr>
        <w:t>(</w:t>
      </w:r>
      <w:r>
        <w:rPr>
          <w:rFonts w:hint="eastAsia" w:ascii="Arial" w:hAnsi="Arial" w:cs="Arial"/>
          <w:b/>
          <w:sz w:val="20"/>
        </w:rPr>
        <w:t>Visionox's Affiliated Company</w:t>
      </w:r>
      <w:r>
        <w:rPr>
          <w:rFonts w:hint="eastAsia" w:ascii="Arial" w:hAnsi="Arial" w:cs="Arial"/>
          <w:b/>
          <w:sz w:val="20"/>
          <w:lang w:eastAsia="zh-CN"/>
        </w:rPr>
        <w:t>)</w:t>
      </w:r>
      <w:r>
        <w:rPr>
          <w:rFonts w:ascii="Arial" w:hAnsi="Arial" w:cs="Arial"/>
          <w:b/>
          <w:sz w:val="20"/>
        </w:rPr>
        <w:t xml:space="preserve">, China </w:t>
      </w:r>
    </w:p>
    <w:p w14:paraId="6809CCF6">
      <w:pPr>
        <w:spacing w:after="0"/>
        <w:jc w:val="center"/>
        <w:rPr>
          <w:rFonts w:ascii="Helvetica" w:hAnsi="Helvetica"/>
          <w:b/>
          <w:sz w:val="20"/>
        </w:rPr>
      </w:pPr>
    </w:p>
    <w:p w14:paraId="5B08E1F7">
      <w:pPr>
        <w:sectPr>
          <w:headerReference r:id="rId6" w:type="first"/>
          <w:footerReference r:id="rId9" w:type="first"/>
          <w:headerReference r:id="rId4" w:type="default"/>
          <w:footerReference r:id="rId7" w:type="default"/>
          <w:headerReference r:id="rId5" w:type="even"/>
          <w:footerReference r:id="rId8" w:type="even"/>
          <w:pgSz w:w="12240" w:h="15840"/>
          <w:pgMar w:top="1224" w:right="1080" w:bottom="1440" w:left="1080" w:header="720" w:footer="576" w:gutter="0"/>
          <w:cols w:space="490" w:num="1"/>
          <w:titlePg/>
          <w:docGrid w:linePitch="360" w:charSpace="0"/>
        </w:sectPr>
      </w:pPr>
    </w:p>
    <w:p w14:paraId="35DFF475">
      <w:pPr>
        <w:spacing w:after="0"/>
        <w:rPr>
          <w:rFonts w:ascii="Arial" w:hAnsi="Arial" w:cs="Arial" w:eastAsiaTheme="minorEastAsia"/>
          <w:b/>
          <w:sz w:val="20"/>
        </w:rPr>
      </w:pPr>
      <w:r>
        <w:rPr>
          <w:rFonts w:ascii="Arial" w:hAnsi="Arial" w:cs="Arial" w:eastAsiaTheme="minorEastAsia"/>
          <w:b/>
          <w:sz w:val="20"/>
        </w:rPr>
        <w:t>Abstract</w:t>
      </w:r>
    </w:p>
    <w:p w14:paraId="30125787">
      <w:pPr>
        <w:rPr>
          <w:rStyle w:val="25"/>
          <w:rFonts w:ascii="Times New Roman" w:hAnsi="Times New Roman"/>
          <w:i/>
          <w:sz w:val="18"/>
          <w:szCs w:val="18"/>
        </w:rPr>
      </w:pPr>
      <w:r>
        <w:rPr>
          <w:rStyle w:val="25"/>
          <w:rFonts w:ascii="Times New Roman" w:hAnsi="Times New Roman"/>
          <w:i/>
          <w:sz w:val="18"/>
          <w:szCs w:val="18"/>
        </w:rPr>
        <w:t>With the development of AMOLED display modules towards ultra-thinness in mobile terminals, their resistance to back impact has become a key bottleneck restricting product durability. This paper investigates the failure behavior of AMOLED modules under back impact loading. By combining experimental characterization and finite element simulation, it reveals that the failure mode is dominated by the fracture of the array substrate under tensile bending stress. Based on this mechanism, this paper proposes a collaborative optimization of the material system, emphasizing the synergistic mechanical response of multi-layer materials such as the backplane, cushion layer, and optical adhesive, and constructs an efficient energy absorption and stress dispersion system. Experimental verification shows that the optimized module improves its back impact resistance by 56%, providing an important theoretical basis and practical path for the development of highly reliable AMOLED display modules.</w:t>
      </w:r>
    </w:p>
    <w:p w14:paraId="270EF6A0">
      <w:pPr>
        <w:spacing w:after="0"/>
        <w:rPr>
          <w:rFonts w:ascii="Arial" w:hAnsi="Arial" w:cs="Arial" w:eastAsiaTheme="minorEastAsia"/>
          <w:b/>
          <w:sz w:val="20"/>
        </w:rPr>
      </w:pPr>
      <w:r>
        <w:rPr>
          <w:rFonts w:ascii="Arial" w:hAnsi="Arial" w:cs="Arial" w:eastAsiaTheme="minorEastAsia"/>
          <w:b/>
          <w:sz w:val="20"/>
        </w:rPr>
        <w:t>Author Keywords</w:t>
      </w:r>
    </w:p>
    <w:p w14:paraId="73B9B19E">
      <w:pPr>
        <w:rPr>
          <w:rFonts w:eastAsia="Malgun Gothic"/>
        </w:rPr>
      </w:pPr>
      <w:r>
        <w:rPr>
          <w:rFonts w:eastAsiaTheme="minorEastAsia"/>
          <w:szCs w:val="18"/>
        </w:rPr>
        <w:t>AMOLED; Back Impact; Failure Mechanism; Finite Element Analysis; Collaborative Optimization; Material System</w:t>
      </w:r>
    </w:p>
    <w:p w14:paraId="35E6B96C">
      <w:pPr>
        <w:pStyle w:val="2"/>
        <w:rPr>
          <w:rFonts w:ascii="Arial" w:hAnsi="Arial" w:cs="Arial"/>
          <w:sz w:val="20"/>
        </w:rPr>
      </w:pPr>
      <w:r>
        <w:rPr>
          <w:rFonts w:ascii="Arial" w:hAnsi="Arial" w:cs="Arial"/>
          <w:sz w:val="20"/>
        </w:rPr>
        <w:t xml:space="preserve">Introduction </w:t>
      </w:r>
    </w:p>
    <w:p w14:paraId="0614AB1E">
      <w:r>
        <w:t>With the market's pursuit of lightweight and ultra-high screen-to-body ratio in terminal devices, the structure of AMOLED display modules is developing towards being thinner and more integrated. However, while this complex structure enhances the visual experience, it also makes its mechanical reliability, especially impact resistance facing unprecedented severe challenges. Among them, back impact (i.e., impact from the direction of the device's back cover, such as dropping and squeezing) has become one of the main causes of screen failure (such as inner screen cracking, display abnormalities, bright or dark spots).Currently, research on the reliability of display screens mostly focuses on front impact or the strengthening technology of cover glass, and the optimal design of the collaborative working mechanism of multi-layer materials is a gap in the current research field. Systematically studying the failure mechanism of AMOLED modules under back impact and developing effective protection strategies based on this has urgent and important engineering significance for enhancing the core competitiveness of products.</w:t>
      </w:r>
    </w:p>
    <w:p w14:paraId="5F0D893D">
      <w:pPr>
        <w:pStyle w:val="2"/>
        <w:rPr>
          <w:rFonts w:ascii="Arial" w:hAnsi="Arial" w:cs="Arial"/>
          <w:bCs/>
          <w:sz w:val="20"/>
        </w:rPr>
      </w:pPr>
      <w:r>
        <w:rPr>
          <w:rFonts w:ascii="Arial" w:hAnsi="Arial" w:cs="Arial"/>
          <w:bCs/>
          <w:sz w:val="20"/>
        </w:rPr>
        <w:t>Structure of AMOLED Module and Test</w:t>
      </w:r>
    </w:p>
    <w:p w14:paraId="15FD2267">
      <w:r>
        <w:rPr>
          <w:rFonts w:ascii="Arial" w:hAnsi="Arial" w:eastAsia="微软雅黑" w:cs="Arial"/>
          <w:b/>
          <w:sz w:val="24"/>
          <w:szCs w:val="24"/>
          <w:lang w:eastAsia="zh-CN"/>
        </w:rPr>
        <w:drawing>
          <wp:anchor distT="0" distB="0" distL="114300" distR="114300" simplePos="0" relativeHeight="251661312" behindDoc="0" locked="0" layoutInCell="1" allowOverlap="1">
            <wp:simplePos x="0" y="0"/>
            <wp:positionH relativeFrom="margin">
              <wp:posOffset>857885</wp:posOffset>
            </wp:positionH>
            <wp:positionV relativeFrom="paragraph">
              <wp:posOffset>727075</wp:posOffset>
            </wp:positionV>
            <wp:extent cx="1104265" cy="826135"/>
            <wp:effectExtent l="0" t="0" r="635"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04265" cy="826135"/>
                    </a:xfrm>
                    <a:prstGeom prst="rect">
                      <a:avLst/>
                    </a:prstGeom>
                    <a:noFill/>
                  </pic:spPr>
                </pic:pic>
              </a:graphicData>
            </a:graphic>
          </wp:anchor>
        </w:drawing>
      </w:r>
      <w:r>
        <w:rPr>
          <w:b/>
        </w:rPr>
        <w:t>Structure of AMOLED Display Module</w:t>
      </w:r>
      <w:r>
        <w:t>：The main structure of the AMOLED display module from the front to the back is as follows in sequence: Cover Glass, OCA, POL, TP, TFE and OLED light-emitting unit, TFT array substrate, cushion layer, and metal backplane. The structural schematic diagram is shown in Figure 1.</w:t>
      </w:r>
    </w:p>
    <w:p w14:paraId="7D87F71B">
      <w:pPr>
        <w:jc w:val="center"/>
        <w:rPr>
          <w:rFonts w:ascii="Arial" w:hAnsi="Arial" w:eastAsia="Malgun Gothic" w:cs="Arial"/>
          <w:szCs w:val="18"/>
        </w:rPr>
      </w:pPr>
      <w:r>
        <w:rPr>
          <w:rFonts w:ascii="Arial" w:hAnsi="Arial" w:cs="Arial"/>
          <w:b/>
          <w:szCs w:val="18"/>
        </w:rPr>
        <w:t xml:space="preserve">Figure 1. </w:t>
      </w:r>
      <w:r>
        <w:rPr>
          <w:rFonts w:ascii="Arial" w:hAnsi="Arial" w:cs="Arial"/>
          <w:szCs w:val="18"/>
        </w:rPr>
        <w:t>Structural Diagram of the AMOLED Module</w:t>
      </w:r>
    </w:p>
    <w:p w14:paraId="69941FB9">
      <w:pPr>
        <w:rPr>
          <w:rFonts w:eastAsia="Malgun Gothic"/>
        </w:rPr>
      </w:pPr>
      <w:r>
        <w:rPr>
          <w:rFonts w:eastAsia="Malgun Gothic"/>
          <w:b/>
        </w:rPr>
        <w:t>Design of Back Impact Experiment</w:t>
      </w:r>
      <w:r>
        <w:rPr>
          <w:rFonts w:eastAsia="Malgun Gothic"/>
        </w:rPr>
        <w:t xml:space="preserve"> :  Before testing, all modules are placed in a standard temperature and humidity environment (23±2°C, 50±5% RH) for stabilization for more than 24 hours. For the dynamic impact test, a customized drop tower is used. The AMOLED module is placed on the loading platform, and a steel sphere with a specified size (R=7mm) and material is allowed to fall freely from a predetermined height to impact the back surface of the AMOLED display module, so as to simulate real drop conditions. Each condition is tested with 10 samples to ensure statistical validity. All modules need to be monitored for changes in display status after being impacted.</w:t>
      </w:r>
    </w:p>
    <w:p w14:paraId="3BED2E12">
      <w:pPr>
        <w:rPr>
          <w:rFonts w:eastAsia="Malgun Gothic"/>
        </w:rPr>
      </w:pPr>
      <w:r>
        <w:rPr>
          <w:rFonts w:eastAsia="Malgun Gothic"/>
          <w:b/>
        </w:rPr>
        <w:t>Failure Characterization</w:t>
      </w:r>
      <w:r>
        <w:rPr>
          <w:rFonts w:eastAsia="Malgun Gothic"/>
        </w:rPr>
        <w:t>: After the impact test, macroscopic and microscopic analyses are conducted on the failed modules. Macroscopically, there is no abnormality on the front appearance, while there are indentation traces of steel sphere drop on the metal of the backplane. After lighted, bright spots are found at the steel sphere drop position (Figure 2 a), accompanied by some dark spots, and no black spots or other defects are observed. To investigate the failure origin, the module with bright spots is selected, and SEM images clearly show that obvious micro cracks appear in brittle inorganic layers such as the gate insulating layer or interlayer dielectric layer in the TFT array region corresponding to the bright spots (as shown in Figure 2 b).</w:t>
      </w:r>
    </w:p>
    <w:p w14:paraId="7291FC2F">
      <w:pPr>
        <w:jc w:val="center"/>
        <w:rPr>
          <w:rFonts w:eastAsia="Malgun Gothic"/>
        </w:rPr>
      </w:pPr>
      <w:r>
        <w:rPr>
          <w:rFonts w:eastAsia="Malgun Gothic"/>
          <w:lang w:eastAsia="zh-CN"/>
        </w:rPr>
        <w:drawing>
          <wp:inline distT="0" distB="0" distL="0" distR="0">
            <wp:extent cx="2287270" cy="12788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30413" cy="1302979"/>
                    </a:xfrm>
                    <a:prstGeom prst="rect">
                      <a:avLst/>
                    </a:prstGeom>
                    <a:noFill/>
                  </pic:spPr>
                </pic:pic>
              </a:graphicData>
            </a:graphic>
          </wp:inline>
        </w:drawing>
      </w:r>
    </w:p>
    <w:p w14:paraId="656EFA9D">
      <w:pPr>
        <w:jc w:val="center"/>
        <w:rPr>
          <w:rFonts w:eastAsia="Malgun Gothic"/>
        </w:rPr>
      </w:pPr>
      <w:r>
        <w:rPr>
          <w:rFonts w:eastAsia="Malgun Gothic"/>
          <w:b/>
        </w:rPr>
        <w:t xml:space="preserve">Figure 1. </w:t>
      </w:r>
      <w:r>
        <w:rPr>
          <w:rFonts w:eastAsia="Malgun Gothic"/>
        </w:rPr>
        <w:t>Macroscopic and Microscopic Image of bright spots</w:t>
      </w:r>
    </w:p>
    <w:p w14:paraId="415D799D">
      <w:pPr>
        <w:pStyle w:val="2"/>
        <w:rPr>
          <w:rFonts w:ascii="Arial" w:hAnsi="Arial" w:cs="Arial"/>
          <w:bCs/>
          <w:sz w:val="20"/>
        </w:rPr>
      </w:pPr>
      <w:r>
        <w:rPr>
          <w:rFonts w:ascii="Segoe UI" w:hAnsi="Segoe UI" w:cs="Segoe UI"/>
          <w:b w:val="0"/>
          <w:bCs/>
          <w:i/>
          <w:color w:val="000000"/>
          <w:kern w:val="0"/>
          <w:szCs w:val="24"/>
          <w:lang w:eastAsia="zh-CN"/>
        </w:rPr>
        <w:t xml:space="preserve"> </w:t>
      </w:r>
      <w:r>
        <w:rPr>
          <w:rFonts w:ascii="Arial" w:hAnsi="Arial" w:cs="Arial"/>
          <w:bCs/>
          <w:sz w:val="20"/>
        </w:rPr>
        <w:t>Failure Mechanism</w:t>
      </w:r>
    </w:p>
    <w:p w14:paraId="53CB7A10">
      <w:pPr>
        <w:rPr>
          <w:lang w:eastAsia="zh-CN"/>
        </w:rPr>
      </w:pPr>
      <w:r>
        <w:rPr>
          <w:b/>
          <w:lang w:eastAsia="zh-CN"/>
        </w:rPr>
        <w:t>Finite Element Simulation Model</w:t>
      </w:r>
      <w:r>
        <w:rPr>
          <w:lang w:eastAsia="zh-CN"/>
        </w:rPr>
        <w:t>:</w:t>
      </w:r>
      <w:r>
        <w:rPr>
          <w:rFonts w:ascii="Segoe UI" w:hAnsi="Segoe UI" w:cs="Segoe UI"/>
          <w:shd w:val="clear" w:color="auto" w:fill="FFFFFF"/>
        </w:rPr>
        <w:t xml:space="preserve"> </w:t>
      </w:r>
      <w:r>
        <w:rPr>
          <w:lang w:eastAsia="zh-CN"/>
        </w:rPr>
        <w:t>In this study, a finite element model based on the explicit dynamics theory is established. The model strictly follows the layered structural characteristics of the AMOLED module. For the selection of material constitutive models, a differentiated modeling strategy is adopted according to the mechanical properties of different functional layers. The simulation model is shown in Figure 3 below.</w:t>
      </w:r>
    </w:p>
    <w:p w14:paraId="5DDE95FC">
      <w:pPr>
        <w:rPr>
          <w:rFonts w:eastAsia="Malgun Gothic"/>
        </w:rPr>
      </w:pPr>
      <w:r>
        <w:rPr>
          <w:rFonts w:ascii="等线" w:hAnsi="等线" w:eastAsia="等线"/>
          <w:kern w:val="2"/>
          <w:sz w:val="21"/>
          <w:szCs w:val="22"/>
          <w:lang w:eastAsia="zh-CN"/>
        </w:rPr>
        <w:drawing>
          <wp:inline distT="0" distB="0" distL="0" distR="0">
            <wp:extent cx="2922905" cy="9537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002815" cy="980435"/>
                    </a:xfrm>
                    <a:prstGeom prst="rect">
                      <a:avLst/>
                    </a:prstGeom>
                  </pic:spPr>
                </pic:pic>
              </a:graphicData>
            </a:graphic>
          </wp:inline>
        </w:drawing>
      </w:r>
    </w:p>
    <w:p w14:paraId="3F2CBE3D">
      <w:pPr>
        <w:jc w:val="center"/>
        <w:rPr>
          <w:rFonts w:eastAsia="Malgun Gothic"/>
        </w:rPr>
      </w:pPr>
      <w:r>
        <w:rPr>
          <w:rFonts w:ascii="Arial" w:hAnsi="Arial" w:cs="Arial"/>
          <w:b/>
          <w:szCs w:val="18"/>
        </w:rPr>
        <w:t xml:space="preserve">Figure 3. </w:t>
      </w:r>
      <w:r>
        <w:rPr>
          <w:rFonts w:ascii="Segoe UI" w:hAnsi="Segoe UI" w:cs="Segoe UI"/>
          <w:shd w:val="clear" w:color="auto" w:fill="FFFFFF"/>
        </w:rPr>
        <w:t xml:space="preserve"> </w:t>
      </w:r>
      <w:r>
        <w:rPr>
          <w:rFonts w:ascii="Arial" w:hAnsi="Arial" w:cs="Arial"/>
          <w:szCs w:val="18"/>
        </w:rPr>
        <w:t>Simulation Model of Drop Ball Impact</w:t>
      </w:r>
    </w:p>
    <w:p w14:paraId="328AEDE5">
      <w:pPr>
        <w:rPr>
          <w:rFonts w:eastAsia="Malgun Gothic"/>
        </w:rPr>
      </w:pPr>
      <w:r>
        <w:rPr>
          <w:rFonts w:eastAsia="Malgun Gothic"/>
          <w:b/>
        </w:rPr>
        <w:t>Judgment and Discussion on Failure Mechanism</w:t>
      </w:r>
      <w:r>
        <w:rPr>
          <w:rFonts w:eastAsia="Malgun Gothic"/>
        </w:rPr>
        <w:t>: At the moment when the falling ball impacts the copper foil, a stress wave is generated. This stress wave propagates downward inside the module at the speed of sound. When the stress wave propagates to the bottom of the solid steel plate, due to the extremely high impedance of the steel plate, the stress wave will be strongly reflected, forming a reflected tensile wave that propagates upward. The reflected wave and the subsequent incident wave superimpose each other, resulting in a very high local stress peak (The moment when the maximum principal stress occurs is consistent with the moment of the maximum principal strain in Figure 4). When this peak strain exceeds fracture threshold (Maximum Principal Strain Theory (i.e., the Second Strength Theory) formula 3-1 and 3-2) of the inorganic layer, brittle fracture will occur directly and generate cracks. Cracks generally initiate from microscopic defects and propagate perpendicular to the direction of the principal stress.</w:t>
      </w:r>
    </w:p>
    <w:p w14:paraId="16D54BD3">
      <w:pPr>
        <w:jc w:val="center"/>
        <w:rPr>
          <w:rFonts w:eastAsia="Malgun Gothic"/>
        </w:rPr>
      </w:pPr>
      <w:r>
        <w:rPr>
          <w:rFonts w:ascii="等线" w:hAnsi="等线" w:eastAsia="等线"/>
          <w:kern w:val="2"/>
          <w:sz w:val="21"/>
          <w:szCs w:val="22"/>
          <w:lang w:eastAsia="zh-CN"/>
        </w:rPr>
        <w:drawing>
          <wp:inline distT="0" distB="0" distL="0" distR="0">
            <wp:extent cx="2193290" cy="1550670"/>
            <wp:effectExtent l="0" t="0" r="0" b="0"/>
            <wp:docPr id="4" name="图片 4" descr="C:\Users\wangyl01\AppData\Local\Microsoft\Windows\INetCache\Content.Word\Graph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angyl01\AppData\Local\Microsoft\Windows\INetCache\Content.Word\Graph1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10414" cy="1563221"/>
                    </a:xfrm>
                    <a:prstGeom prst="rect">
                      <a:avLst/>
                    </a:prstGeom>
                    <a:noFill/>
                    <a:ln>
                      <a:noFill/>
                    </a:ln>
                  </pic:spPr>
                </pic:pic>
              </a:graphicData>
            </a:graphic>
          </wp:inline>
        </w:drawing>
      </w:r>
    </w:p>
    <w:p w14:paraId="328728A6">
      <w:pPr>
        <w:jc w:val="center"/>
        <w:rPr>
          <w:rFonts w:eastAsia="Malgun Gothic"/>
        </w:rPr>
      </w:pPr>
      <w:r>
        <w:rPr>
          <w:rFonts w:ascii="Arial" w:hAnsi="Arial" w:cs="Arial"/>
          <w:b/>
          <w:szCs w:val="18"/>
        </w:rPr>
        <w:t xml:space="preserve">Figure 4. </w:t>
      </w:r>
      <w:r>
        <w:rPr>
          <w:rFonts w:ascii="Segoe UI" w:hAnsi="Segoe UI" w:cs="Segoe UI"/>
          <w:shd w:val="clear" w:color="auto" w:fill="FFFFFF"/>
        </w:rPr>
        <w:t xml:space="preserve"> </w:t>
      </w:r>
      <w:r>
        <w:rPr>
          <w:rFonts w:ascii="Arial" w:hAnsi="Arial" w:cs="Arial"/>
          <w:szCs w:val="18"/>
        </w:rPr>
        <w:t xml:space="preserve">Curve of Changes of Various Variables </w:t>
      </w:r>
    </w:p>
    <w:p w14:paraId="0FCAAB22">
      <w:pPr>
        <w:rPr>
          <w:rFonts w:eastAsia="Malgun Gothic"/>
        </w:rPr>
      </w:pPr>
      <w:r>
        <w:rPr>
          <w:rFonts w:eastAsia="Malgun Gothic"/>
        </w:rPr>
        <w:t>Figure 4 illustrates the curve of strain of the fragile layer during the falling impact process of the ball. It can be seen that the stress wave is gradually transmitted downward from the initial contact point of the falling ball until the stress wave rebounds at the bottom steel plate. Moreover, when the falling ball reaches the lowest point, the rebound force of the bottom fixture is the largest, and the strain of the fragile layer is also the largest.</w:t>
      </w:r>
    </w:p>
    <w:p w14:paraId="2E73BB10">
      <w:pPr>
        <w:jc w:val="center"/>
        <w:rPr>
          <w:rFonts w:eastAsiaTheme="minorEastAsia"/>
          <w:lang w:eastAsia="zh-CN"/>
        </w:rPr>
      </w:pPr>
      <m:oMath>
        <m:sSub>
          <m:sSubPr>
            <m:ctrlPr>
              <w:rPr>
                <w:rFonts w:ascii="Cambria Math" w:hAnsi="Cambria Math" w:eastAsia="Malgun Gothic"/>
              </w:rPr>
            </m:ctrlPr>
          </m:sSubPr>
          <m:e>
            <m:r>
              <m:rPr/>
              <w:rPr>
                <w:rFonts w:ascii="Cambria Math" w:hAnsi="Cambria Math" w:eastAsia="Malgun Gothic"/>
              </w:rPr>
              <m:t>ε</m:t>
            </m:r>
            <m:ctrlPr>
              <w:rPr>
                <w:rFonts w:ascii="Cambria Math" w:hAnsi="Cambria Math" w:eastAsia="Malgun Gothic"/>
              </w:rPr>
            </m:ctrlPr>
          </m:e>
          <m:sub>
            <m:r>
              <m:rPr/>
              <w:rPr>
                <w:rFonts w:ascii="Cambria Math" w:hAnsi="Cambria Math" w:eastAsia="Malgun Gothic"/>
              </w:rPr>
              <m:t>max</m:t>
            </m:r>
            <m:ctrlPr>
              <w:rPr>
                <w:rFonts w:ascii="Cambria Math" w:hAnsi="Cambria Math" w:eastAsia="Malgun Gothic"/>
              </w:rPr>
            </m:ctrlPr>
          </m:sub>
        </m:sSub>
        <m:r>
          <m:rPr>
            <m:sty m:val="p"/>
          </m:rPr>
          <w:rPr>
            <w:rFonts w:ascii="Cambria Math" w:hAnsi="Cambria Math" w:eastAsia="Malgun Gothic"/>
          </w:rPr>
          <m:t>&gt;</m:t>
        </m:r>
        <m:sSub>
          <m:sSubPr>
            <m:ctrlPr>
              <w:rPr>
                <w:rFonts w:ascii="Cambria Math" w:hAnsi="Cambria Math" w:eastAsia="Malgun Gothic"/>
              </w:rPr>
            </m:ctrlPr>
          </m:sSubPr>
          <m:e>
            <m:r>
              <m:rPr/>
              <w:rPr>
                <w:rFonts w:ascii="Cambria Math" w:hAnsi="Cambria Math" w:eastAsia="Malgun Gothic"/>
              </w:rPr>
              <m:t>ε</m:t>
            </m:r>
            <m:ctrlPr>
              <w:rPr>
                <w:rFonts w:ascii="Cambria Math" w:hAnsi="Cambria Math" w:eastAsia="Malgun Gothic"/>
              </w:rPr>
            </m:ctrlPr>
          </m:e>
          <m:sub>
            <m:r>
              <m:rPr/>
              <w:rPr>
                <w:rFonts w:ascii="Cambria Math" w:hAnsi="Cambria Math" w:eastAsia="Malgun Gothic"/>
              </w:rPr>
              <m:t>c</m:t>
            </m:r>
            <m:ctrlPr>
              <w:rPr>
                <w:rFonts w:ascii="Cambria Math" w:hAnsi="Cambria Math" w:eastAsia="Malgun Gothic"/>
              </w:rPr>
            </m:ctrlPr>
          </m:sub>
        </m:sSub>
      </m:oMath>
      <w:r>
        <w:rPr>
          <w:rFonts w:eastAsiaTheme="minorEastAsia"/>
          <w:lang w:eastAsia="zh-CN"/>
        </w:rPr>
        <w:t xml:space="preserve">        </w:t>
      </w:r>
      <w:r>
        <w:rPr>
          <w:rFonts w:hint="eastAsia" w:eastAsiaTheme="minorEastAsia"/>
          <w:lang w:eastAsia="zh-CN"/>
        </w:rPr>
        <w:t>(</w:t>
      </w:r>
      <w:r>
        <w:rPr>
          <w:rFonts w:eastAsiaTheme="minorEastAsia"/>
          <w:lang w:eastAsia="zh-CN"/>
        </w:rPr>
        <w:t>3-1)</w:t>
      </w:r>
    </w:p>
    <w:p w14:paraId="67EB9775">
      <w:pPr>
        <w:jc w:val="center"/>
        <w:rPr>
          <w:rFonts w:eastAsiaTheme="minorEastAsia"/>
        </w:rPr>
      </w:pPr>
      <m:oMath>
        <m:sSub>
          <m:sSubPr>
            <m:ctrlPr>
              <w:rPr>
                <w:rFonts w:ascii="Cambria Math" w:hAnsi="Cambria Math" w:eastAsia="微软雅黑"/>
                <w:kern w:val="2"/>
                <w:szCs w:val="18"/>
                <w:lang w:eastAsia="zh-CN"/>
              </w:rPr>
            </m:ctrlPr>
          </m:sSubPr>
          <m:e>
            <m:r>
              <m:rPr/>
              <w:rPr>
                <w:rFonts w:ascii="Cambria Math" w:hAnsi="Cambria Math" w:eastAsia="微软雅黑"/>
                <w:kern w:val="2"/>
                <w:szCs w:val="18"/>
                <w:lang w:eastAsia="zh-CN"/>
              </w:rPr>
              <m:t>σ</m:t>
            </m:r>
            <m:ctrlPr>
              <w:rPr>
                <w:rFonts w:ascii="Cambria Math" w:hAnsi="Cambria Math" w:eastAsia="微软雅黑"/>
                <w:kern w:val="2"/>
                <w:szCs w:val="18"/>
                <w:lang w:eastAsia="zh-CN"/>
              </w:rPr>
            </m:ctrlPr>
          </m:e>
          <m:sub>
            <m:r>
              <m:rPr/>
              <w:rPr>
                <w:rFonts w:ascii="Cambria Math" w:hAnsi="Cambria Math" w:eastAsia="微软雅黑"/>
                <w:kern w:val="2"/>
                <w:szCs w:val="18"/>
                <w:lang w:eastAsia="zh-CN"/>
              </w:rPr>
              <m:t>1</m:t>
            </m:r>
            <m:ctrlPr>
              <w:rPr>
                <w:rFonts w:ascii="Cambria Math" w:hAnsi="Cambria Math" w:eastAsia="微软雅黑"/>
                <w:kern w:val="2"/>
                <w:szCs w:val="18"/>
                <w:lang w:eastAsia="zh-CN"/>
              </w:rPr>
            </m:ctrlPr>
          </m:sub>
        </m:sSub>
        <m:r>
          <m:rPr/>
          <w:rPr>
            <w:rFonts w:ascii="Cambria Math" w:hAnsi="Cambria Math" w:eastAsia="微软雅黑"/>
            <w:kern w:val="2"/>
            <w:szCs w:val="18"/>
            <w:lang w:eastAsia="zh-CN"/>
          </w:rPr>
          <m:t>−μ</m:t>
        </m:r>
        <m:d>
          <m:dPr>
            <m:begChr m:val="（"/>
            <m:endChr m:val="）"/>
            <m:ctrlPr>
              <w:rPr>
                <w:rFonts w:ascii="Cambria Math" w:hAnsi="Cambria Math" w:eastAsia="微软雅黑"/>
                <w:i/>
                <w:kern w:val="2"/>
                <w:szCs w:val="18"/>
                <w:lang w:eastAsia="zh-CN"/>
              </w:rPr>
            </m:ctrlPr>
          </m:dPr>
          <m:e>
            <m:sSub>
              <m:sSubPr>
                <m:ctrlPr>
                  <w:rPr>
                    <w:rFonts w:ascii="Cambria Math" w:hAnsi="Cambria Math" w:eastAsia="微软雅黑"/>
                    <w:i/>
                    <w:kern w:val="2"/>
                    <w:szCs w:val="18"/>
                    <w:lang w:eastAsia="zh-CN"/>
                  </w:rPr>
                </m:ctrlPr>
              </m:sSubPr>
              <m:e>
                <m:r>
                  <m:rPr/>
                  <w:rPr>
                    <w:rFonts w:ascii="Cambria Math" w:hAnsi="Cambria Math" w:eastAsia="微软雅黑"/>
                    <w:kern w:val="2"/>
                    <w:szCs w:val="18"/>
                    <w:lang w:eastAsia="zh-CN"/>
                  </w:rPr>
                  <m:t>σ</m:t>
                </m:r>
                <m:ctrlPr>
                  <w:rPr>
                    <w:rFonts w:ascii="Cambria Math" w:hAnsi="Cambria Math" w:eastAsia="微软雅黑"/>
                    <w:i/>
                    <w:kern w:val="2"/>
                    <w:szCs w:val="18"/>
                    <w:lang w:eastAsia="zh-CN"/>
                  </w:rPr>
                </m:ctrlPr>
              </m:e>
              <m:sub>
                <m:r>
                  <m:rPr/>
                  <w:rPr>
                    <w:rFonts w:ascii="Cambria Math" w:hAnsi="Cambria Math" w:eastAsia="微软雅黑"/>
                    <w:kern w:val="2"/>
                    <w:szCs w:val="18"/>
                    <w:lang w:eastAsia="zh-CN"/>
                  </w:rPr>
                  <m:t>2</m:t>
                </m:r>
                <m:ctrlPr>
                  <w:rPr>
                    <w:rFonts w:ascii="Cambria Math" w:hAnsi="Cambria Math" w:eastAsia="微软雅黑"/>
                    <w:i/>
                    <w:kern w:val="2"/>
                    <w:szCs w:val="18"/>
                    <w:lang w:eastAsia="zh-CN"/>
                  </w:rPr>
                </m:ctrlPr>
              </m:sub>
            </m:sSub>
            <m:r>
              <m:rPr/>
              <w:rPr>
                <w:rFonts w:ascii="Cambria Math" w:hAnsi="Cambria Math" w:eastAsia="微软雅黑"/>
                <w:kern w:val="2"/>
                <w:szCs w:val="18"/>
                <w:lang w:eastAsia="zh-CN"/>
              </w:rPr>
              <m:t>+</m:t>
            </m:r>
            <m:sSub>
              <m:sSubPr>
                <m:ctrlPr>
                  <w:rPr>
                    <w:rFonts w:ascii="Cambria Math" w:hAnsi="Cambria Math" w:eastAsia="微软雅黑"/>
                    <w:i/>
                    <w:kern w:val="2"/>
                    <w:szCs w:val="18"/>
                    <w:lang w:eastAsia="zh-CN"/>
                  </w:rPr>
                </m:ctrlPr>
              </m:sSubPr>
              <m:e>
                <m:r>
                  <m:rPr/>
                  <w:rPr>
                    <w:rFonts w:ascii="Cambria Math" w:hAnsi="Cambria Math" w:eastAsia="微软雅黑"/>
                    <w:kern w:val="2"/>
                    <w:szCs w:val="18"/>
                    <w:lang w:eastAsia="zh-CN"/>
                  </w:rPr>
                  <m:t>σ</m:t>
                </m:r>
                <m:ctrlPr>
                  <w:rPr>
                    <w:rFonts w:ascii="Cambria Math" w:hAnsi="Cambria Math" w:eastAsia="微软雅黑"/>
                    <w:i/>
                    <w:kern w:val="2"/>
                    <w:szCs w:val="18"/>
                    <w:lang w:eastAsia="zh-CN"/>
                  </w:rPr>
                </m:ctrlPr>
              </m:e>
              <m:sub>
                <m:r>
                  <m:rPr/>
                  <w:rPr>
                    <w:rFonts w:ascii="Cambria Math" w:hAnsi="Cambria Math" w:eastAsia="微软雅黑"/>
                    <w:kern w:val="2"/>
                    <w:szCs w:val="18"/>
                    <w:lang w:eastAsia="zh-CN"/>
                  </w:rPr>
                  <m:t>3</m:t>
                </m:r>
                <m:ctrlPr>
                  <w:rPr>
                    <w:rFonts w:ascii="Cambria Math" w:hAnsi="Cambria Math" w:eastAsia="微软雅黑"/>
                    <w:i/>
                    <w:kern w:val="2"/>
                    <w:szCs w:val="18"/>
                    <w:lang w:eastAsia="zh-CN"/>
                  </w:rPr>
                </m:ctrlPr>
              </m:sub>
            </m:sSub>
            <m:ctrlPr>
              <w:rPr>
                <w:rFonts w:ascii="Cambria Math" w:hAnsi="Cambria Math" w:eastAsia="微软雅黑"/>
                <w:i/>
                <w:kern w:val="2"/>
                <w:szCs w:val="18"/>
                <w:lang w:eastAsia="zh-CN"/>
              </w:rPr>
            </m:ctrlPr>
          </m:e>
        </m:d>
        <m:r>
          <m:rPr/>
          <w:rPr>
            <w:rFonts w:ascii="Cambria Math" w:hAnsi="Cambria Math" w:eastAsia="微软雅黑"/>
            <w:kern w:val="2"/>
            <w:szCs w:val="18"/>
            <w:lang w:eastAsia="zh-CN"/>
          </w:rPr>
          <m:t>≤[</m:t>
        </m:r>
        <m:sSub>
          <m:sSubPr>
            <m:ctrlPr>
              <w:rPr>
                <w:rFonts w:ascii="Cambria Math" w:hAnsi="Cambria Math" w:eastAsia="微软雅黑"/>
                <w:i/>
                <w:kern w:val="2"/>
                <w:szCs w:val="18"/>
                <w:lang w:eastAsia="zh-CN"/>
              </w:rPr>
            </m:ctrlPr>
          </m:sSubPr>
          <m:e>
            <m:r>
              <m:rPr/>
              <w:rPr>
                <w:rFonts w:ascii="Cambria Math" w:hAnsi="Cambria Math" w:eastAsia="微软雅黑"/>
                <w:kern w:val="2"/>
                <w:szCs w:val="18"/>
                <w:lang w:eastAsia="zh-CN"/>
              </w:rPr>
              <m:t>σ</m:t>
            </m:r>
            <m:ctrlPr>
              <w:rPr>
                <w:rFonts w:ascii="Cambria Math" w:hAnsi="Cambria Math" w:eastAsia="微软雅黑"/>
                <w:i/>
                <w:kern w:val="2"/>
                <w:szCs w:val="18"/>
                <w:lang w:eastAsia="zh-CN"/>
              </w:rPr>
            </m:ctrlPr>
          </m:e>
          <m:sub>
            <m:r>
              <m:rPr/>
              <w:rPr>
                <w:rFonts w:ascii="Cambria Math" w:hAnsi="Cambria Math" w:eastAsia="微软雅黑"/>
                <w:kern w:val="2"/>
                <w:szCs w:val="18"/>
                <w:lang w:eastAsia="zh-CN"/>
              </w:rPr>
              <m:t>c</m:t>
            </m:r>
            <m:ctrlPr>
              <w:rPr>
                <w:rFonts w:ascii="Cambria Math" w:hAnsi="Cambria Math" w:eastAsia="微软雅黑"/>
                <w:i/>
                <w:kern w:val="2"/>
                <w:szCs w:val="18"/>
                <w:lang w:eastAsia="zh-CN"/>
              </w:rPr>
            </m:ctrlPr>
          </m:sub>
        </m:sSub>
        <m:r>
          <m:rPr/>
          <w:rPr>
            <w:rFonts w:ascii="Cambria Math" w:hAnsi="Cambria Math" w:eastAsia="微软雅黑"/>
            <w:kern w:val="2"/>
            <w:szCs w:val="18"/>
            <w:lang w:eastAsia="zh-CN"/>
          </w:rPr>
          <m:t>]</m:t>
        </m:r>
      </m:oMath>
      <w:r>
        <w:rPr>
          <w:rFonts w:eastAsiaTheme="minorEastAsia"/>
          <w:kern w:val="2"/>
          <w:szCs w:val="18"/>
          <w:lang w:eastAsia="zh-CN"/>
        </w:rPr>
        <w:t xml:space="preserve"> </w:t>
      </w:r>
      <w:r>
        <w:rPr>
          <w:rFonts w:eastAsiaTheme="minorEastAsia"/>
          <w:kern w:val="2"/>
          <w:sz w:val="20"/>
          <w:szCs w:val="18"/>
          <w:lang w:eastAsia="zh-CN"/>
        </w:rPr>
        <w:t xml:space="preserve">    (3-2)</w:t>
      </w:r>
    </w:p>
    <w:p w14:paraId="0C622419">
      <w:pPr>
        <w:rPr>
          <w:rFonts w:eastAsia="Malgun Gothic"/>
        </w:rPr>
      </w:pPr>
      <w:r>
        <w:rPr>
          <w:rFonts w:eastAsia="Malgun Gothic"/>
        </w:rPr>
        <w:t>As shown in Figure 2, in addition to the inorganic layer of the array, the general metal layer will also fracture.</w:t>
      </w:r>
      <w:r>
        <w:rPr>
          <w:rFonts w:ascii="Segoe UI" w:hAnsi="Segoe UI" w:cs="Segoe UI"/>
          <w:shd w:val="clear" w:color="auto" w:fill="FFFFFF"/>
        </w:rPr>
        <w:t xml:space="preserve"> </w:t>
      </w:r>
      <w:r>
        <w:rPr>
          <w:rFonts w:eastAsia="Malgun Gothic"/>
        </w:rPr>
        <w:t xml:space="preserve">Although the TFT metal layer is ductile, its thickness is extremely thin, and it is also prone to fracture when wrapped and constrained by brittle inorganic layers. </w:t>
      </w:r>
    </w:p>
    <w:p w14:paraId="3E1A3702">
      <w:pPr>
        <w:rPr>
          <w:rFonts w:eastAsia="Malgun Gothic"/>
        </w:rPr>
      </w:pPr>
      <w:r>
        <w:rPr>
          <w:rFonts w:eastAsia="Malgun Gothic"/>
        </w:rPr>
        <w:t>Cracks cause the gate (M1, M2, GATO) or channel (Psi/IGZO) of one or more TFTs to break, making the data signal unable to be inputted. The gate voltage of the driving TFT is no longer modulated by the Data signal, and is stuck or drifts to a voltage value that makes it fully conductive. The driving TFT in a fully conductive state will generate the maximum current it can pass. This maximum and uncontrolled current continuously flows through the OLED, causing it to emit light continuously at the highest brightness.</w:t>
      </w:r>
    </w:p>
    <w:p w14:paraId="26105FE7">
      <w:pPr>
        <w:pStyle w:val="2"/>
        <w:rPr>
          <w:rFonts w:ascii="Arial" w:hAnsi="Arial" w:cs="Arial"/>
          <w:bCs/>
          <w:sz w:val="20"/>
        </w:rPr>
      </w:pPr>
      <w:r>
        <w:rPr>
          <w:rFonts w:ascii="Arial" w:hAnsi="Arial" w:cs="Arial"/>
          <w:bCs/>
          <w:sz w:val="20"/>
        </w:rPr>
        <w:t>Collaborative Optimization Design of Material System Based on Failure Mechanism</w:t>
      </w:r>
    </w:p>
    <w:p w14:paraId="17121F27">
      <w:pPr>
        <w:rPr>
          <w:rFonts w:eastAsia="Malgun Gothic"/>
        </w:rPr>
      </w:pPr>
      <w:r>
        <w:rPr>
          <w:rFonts w:eastAsia="Malgun Gothic"/>
          <w:b/>
        </w:rPr>
        <w:t>Optimization Objectives and Collaborative Design</w:t>
      </w:r>
      <w:r>
        <w:rPr>
          <w:rFonts w:eastAsia="Malgun Gothic"/>
        </w:rPr>
        <w:t>:</w:t>
      </w:r>
      <w:r>
        <w:rPr>
          <w:rFonts w:ascii="Segoe UI" w:hAnsi="Segoe UI" w:cs="Segoe UI"/>
          <w:color w:val="000000"/>
          <w:sz w:val="24"/>
          <w:szCs w:val="24"/>
          <w:lang w:eastAsia="zh-CN"/>
        </w:rPr>
        <w:t xml:space="preserve"> </w:t>
      </w:r>
      <w:r>
        <w:rPr>
          <w:rFonts w:eastAsia="Malgun Gothic"/>
        </w:rPr>
        <w:t>Based on the failure mechanism, this study addresses the back impact issue of AMOLED modules and establishes a clear optimization objective: on the premise of maintaining existing optical performance, improve the impact resistance of the module by more than 50%. Specifically, the critical failure height in the drop ball impact test is increased from the existing 45mm to more than 67.5mm.</w:t>
      </w:r>
    </w:p>
    <w:p w14:paraId="2D41CD72">
      <w:pPr>
        <w:rPr>
          <w:rFonts w:eastAsia="Malgun Gothic"/>
        </w:rPr>
      </w:pPr>
      <w:r>
        <w:rPr>
          <w:rFonts w:eastAsia="Malgun Gothic"/>
        </w:rPr>
        <w:t>Aiming at the experimental mechanical conditions, collaborative optimization design of materials can be carried out from the following three aspects to reduce the stress on the array inorganic layer:</w:t>
      </w:r>
    </w:p>
    <w:p w14:paraId="507363AF">
      <w:pPr>
        <w:numPr>
          <w:ilvl w:val="0"/>
          <w:numId w:val="3"/>
        </w:numPr>
        <w:rPr>
          <w:rFonts w:eastAsia="Malgun Gothic"/>
        </w:rPr>
      </w:pPr>
      <w:r>
        <w:rPr>
          <w:rFonts w:eastAsia="Malgun Gothic"/>
        </w:rPr>
        <w:t>Enhance energy dissipation above the failed film layer and set up multi-level energy absorption in the stress propagation path.</w:t>
      </w:r>
    </w:p>
    <w:p w14:paraId="75C3FF2C">
      <w:pPr>
        <w:numPr>
          <w:ilvl w:val="0"/>
          <w:numId w:val="3"/>
        </w:numPr>
        <w:rPr>
          <w:rFonts w:eastAsia="Malgun Gothic"/>
        </w:rPr>
      </w:pPr>
      <w:r>
        <w:rPr>
          <w:rFonts w:eastAsia="Malgun Gothic"/>
        </w:rPr>
        <w:t>Improve the elongation at break of the failed film layer.</w:t>
      </w:r>
    </w:p>
    <w:p w14:paraId="7B212993">
      <w:pPr>
        <w:numPr>
          <w:ilvl w:val="0"/>
          <w:numId w:val="3"/>
        </w:numPr>
        <w:rPr>
          <w:rFonts w:eastAsia="Malgun Gothic"/>
        </w:rPr>
      </w:pPr>
      <w:r>
        <w:rPr>
          <w:rFonts w:eastAsia="Malgun Gothic"/>
        </w:rPr>
        <w:t>Improve the impedance matching below the failed film layer and reduce the local stress concentration caused by the superposition of impact incident waves and reflected waves due to impedance mismatch.</w:t>
      </w:r>
    </w:p>
    <w:p w14:paraId="32704810">
      <w:pPr>
        <w:rPr>
          <w:rFonts w:eastAsia="Malgun Gothic"/>
        </w:rPr>
      </w:pPr>
      <w:r>
        <w:rPr>
          <w:rFonts w:eastAsia="Malgun Gothic"/>
          <w:b/>
        </w:rPr>
        <w:t>Selection and Optimization of Key Materials</w:t>
      </w:r>
      <w:r>
        <w:rPr>
          <w:rFonts w:eastAsia="Malgun Gothic"/>
        </w:rPr>
        <w:t>: According to Hertz Contact Theory (4-1), the contact radius a of a drop ball impacting a module is proportional to</w:t>
      </w:r>
      <m:oMath>
        <m:rad>
          <m:radPr>
            <m:ctrlPr>
              <w:rPr>
                <w:rFonts w:ascii="Cambria Math" w:hAnsi="Cambria Math" w:eastAsia="Malgun Gothic"/>
              </w:rPr>
            </m:ctrlPr>
          </m:radPr>
          <m:deg>
            <m:r>
              <m:rPr>
                <m:sty m:val="p"/>
              </m:rPr>
              <w:rPr>
                <w:rFonts w:ascii="Cambria Math" w:hAnsi="Cambria Math" w:eastAsia="Malgun Gothic"/>
              </w:rPr>
              <m:t>3</m:t>
            </m:r>
            <m:ctrlPr>
              <w:rPr>
                <w:rFonts w:ascii="Cambria Math" w:hAnsi="Cambria Math" w:eastAsia="Malgun Gothic"/>
              </w:rPr>
            </m:ctrlPr>
          </m:deg>
          <m:e>
            <m:f>
              <m:fPr>
                <m:ctrlPr>
                  <w:rPr>
                    <w:rFonts w:ascii="Cambria Math" w:hAnsi="Cambria Math" w:eastAsia="Malgun Gothic"/>
                  </w:rPr>
                </m:ctrlPr>
              </m:fPr>
              <m:num>
                <m:r>
                  <m:rPr/>
                  <w:rPr>
                    <w:rFonts w:ascii="Cambria Math" w:hAnsi="Cambria Math" w:eastAsia="Malgun Gothic"/>
                  </w:rPr>
                  <m:t>F</m:t>
                </m:r>
                <m:ctrlPr>
                  <w:rPr>
                    <w:rFonts w:ascii="Cambria Math" w:hAnsi="Cambria Math" w:eastAsia="Malgun Gothic"/>
                  </w:rPr>
                </m:ctrlPr>
              </m:num>
              <m:den>
                <m:sSup>
                  <m:sSupPr>
                    <m:ctrlPr>
                      <w:rPr>
                        <w:rFonts w:ascii="Cambria Math" w:hAnsi="Cambria Math" w:eastAsia="Malgun Gothic"/>
                      </w:rPr>
                    </m:ctrlPr>
                  </m:sSupPr>
                  <m:e>
                    <m:r>
                      <m:rPr/>
                      <w:rPr>
                        <w:rFonts w:ascii="Cambria Math" w:hAnsi="Cambria Math" w:eastAsia="Malgun Gothic"/>
                      </w:rPr>
                      <m:t>E</m:t>
                    </m:r>
                    <m:ctrlPr>
                      <w:rPr>
                        <w:rFonts w:ascii="Cambria Math" w:hAnsi="Cambria Math" w:eastAsia="Malgun Gothic"/>
                      </w:rPr>
                    </m:ctrlPr>
                  </m:e>
                  <m:sup>
                    <m:r>
                      <m:rPr>
                        <m:sty m:val="p"/>
                      </m:rPr>
                      <w:rPr>
                        <w:rFonts w:ascii="Cambria Math" w:hAnsi="Cambria Math" w:eastAsia="Malgun Gothic"/>
                      </w:rPr>
                      <m:t>∗</m:t>
                    </m:r>
                    <m:ctrlPr>
                      <w:rPr>
                        <w:rFonts w:ascii="Cambria Math" w:hAnsi="Cambria Math" w:eastAsia="Malgun Gothic"/>
                      </w:rPr>
                    </m:ctrlPr>
                  </m:sup>
                </m:sSup>
                <m:ctrlPr>
                  <w:rPr>
                    <w:rFonts w:ascii="Cambria Math" w:hAnsi="Cambria Math" w:eastAsia="Malgun Gothic"/>
                  </w:rPr>
                </m:ctrlPr>
              </m:den>
            </m:f>
            <m:ctrlPr>
              <w:rPr>
                <w:rFonts w:ascii="Cambria Math" w:hAnsi="Cambria Math" w:eastAsia="Malgun Gothic"/>
              </w:rPr>
            </m:ctrlPr>
          </m:e>
        </m:rad>
      </m:oMath>
      <w:r>
        <w:rPr>
          <w:rFonts w:eastAsia="Malgun Gothic"/>
        </w:rPr>
        <w:t>. From the analysis of collision theory (4-3), when the equivalent modulus E</w:t>
      </w:r>
      <w:r>
        <w:rPr>
          <w:rFonts w:ascii="Cambria Math" w:hAnsi="Cambria Math" w:eastAsia="Malgun Gothic" w:cs="Cambria Math"/>
        </w:rPr>
        <w:t xml:space="preserve">∗ </w:t>
      </w:r>
      <w:r>
        <w:rPr>
          <w:rFonts w:eastAsia="Malgun Gothic"/>
        </w:rPr>
        <w:t>(4-2) increases, the overall stiffness k of the module increases. On the premise that the impact kinetic energy of the drop ball remains unchanged, the maximum deformation δ of the module decreases, the impact reaction force F increases, and the contact radius a increases. (See Table 1).</w:t>
      </w:r>
    </w:p>
    <w:p w14:paraId="1889621C">
      <w:pPr>
        <w:jc w:val="center"/>
        <w:rPr>
          <w:rFonts w:eastAsia="Malgun Gothic"/>
        </w:rPr>
      </w:pPr>
      <m:oMath>
        <m:r>
          <m:rPr/>
          <w:rPr>
            <w:rFonts w:ascii="Cambria Math" w:hAnsi="Cambria Math" w:eastAsia="Malgun Gothic"/>
          </w:rPr>
          <m:t>a</m:t>
        </m:r>
        <m:r>
          <m:rPr>
            <m:sty m:val="p"/>
          </m:rPr>
          <w:rPr>
            <w:rFonts w:ascii="Cambria Math" w:hAnsi="Cambria Math" w:eastAsia="Malgun Gothic"/>
          </w:rPr>
          <m:t>=</m:t>
        </m:r>
        <m:rad>
          <m:radPr>
            <m:ctrlPr>
              <w:rPr>
                <w:rFonts w:ascii="Cambria Math" w:hAnsi="Cambria Math" w:eastAsia="Malgun Gothic"/>
                <w:bCs/>
              </w:rPr>
            </m:ctrlPr>
          </m:radPr>
          <m:deg>
            <m:r>
              <m:rPr/>
              <w:rPr>
                <w:rFonts w:ascii="Cambria Math" w:hAnsi="Cambria Math" w:eastAsia="Malgun Gothic"/>
              </w:rPr>
              <m:t>3</m:t>
            </m:r>
            <m:ctrlPr>
              <w:rPr>
                <w:rFonts w:ascii="Cambria Math" w:hAnsi="Cambria Math" w:eastAsia="Malgun Gothic"/>
                <w:bCs/>
              </w:rPr>
            </m:ctrlPr>
          </m:deg>
          <m:e>
            <m:f>
              <m:fPr>
                <m:ctrlPr>
                  <w:rPr>
                    <w:rFonts w:ascii="Cambria Math" w:hAnsi="Cambria Math" w:eastAsia="Malgun Gothic"/>
                    <w:bCs/>
                    <w:i/>
                  </w:rPr>
                </m:ctrlPr>
              </m:fPr>
              <m:num>
                <m:r>
                  <m:rPr/>
                  <w:rPr>
                    <w:rFonts w:ascii="Cambria Math" w:hAnsi="Cambria Math" w:eastAsia="Malgun Gothic"/>
                  </w:rPr>
                  <m:t>3FR</m:t>
                </m:r>
                <m:ctrlPr>
                  <w:rPr>
                    <w:rFonts w:ascii="Cambria Math" w:hAnsi="Cambria Math" w:eastAsia="Malgun Gothic"/>
                    <w:bCs/>
                    <w:i/>
                  </w:rPr>
                </m:ctrlPr>
              </m:num>
              <m:den>
                <m:sSup>
                  <m:sSupPr>
                    <m:ctrlPr>
                      <w:rPr>
                        <w:rFonts w:ascii="Cambria Math" w:hAnsi="Cambria Math" w:eastAsia="Malgun Gothic"/>
                        <w:bCs/>
                        <w:i/>
                      </w:rPr>
                    </m:ctrlPr>
                  </m:sSupPr>
                  <m:e>
                    <m:r>
                      <m:rPr/>
                      <w:rPr>
                        <w:rFonts w:ascii="Cambria Math" w:hAnsi="Cambria Math" w:eastAsia="Malgun Gothic"/>
                      </w:rPr>
                      <m:t>4E</m:t>
                    </m:r>
                    <m:ctrlPr>
                      <w:rPr>
                        <w:rFonts w:ascii="Cambria Math" w:hAnsi="Cambria Math" w:eastAsia="Malgun Gothic"/>
                        <w:bCs/>
                        <w:i/>
                      </w:rPr>
                    </m:ctrlPr>
                  </m:e>
                  <m:sup>
                    <m:r>
                      <m:rPr/>
                      <w:rPr>
                        <w:rFonts w:ascii="Cambria Math" w:hAnsi="Cambria Math" w:eastAsia="Malgun Gothic"/>
                      </w:rPr>
                      <m:t>∗</m:t>
                    </m:r>
                    <m:ctrlPr>
                      <w:rPr>
                        <w:rFonts w:ascii="Cambria Math" w:hAnsi="Cambria Math" w:eastAsia="Malgun Gothic"/>
                        <w:bCs/>
                        <w:i/>
                      </w:rPr>
                    </m:ctrlPr>
                  </m:sup>
                </m:sSup>
                <m:ctrlPr>
                  <w:rPr>
                    <w:rFonts w:ascii="Cambria Math" w:hAnsi="Cambria Math" w:eastAsia="Malgun Gothic"/>
                    <w:bCs/>
                    <w:i/>
                  </w:rPr>
                </m:ctrlPr>
              </m:den>
            </m:f>
            <m:ctrlPr>
              <w:rPr>
                <w:rFonts w:ascii="Cambria Math" w:hAnsi="Cambria Math" w:eastAsia="Malgun Gothic"/>
                <w:bCs/>
              </w:rPr>
            </m:ctrlPr>
          </m:e>
        </m:rad>
      </m:oMath>
      <w:r>
        <w:rPr>
          <w:rFonts w:eastAsia="Malgun Gothic"/>
        </w:rPr>
        <w:t xml:space="preserve">      (4-1)</w:t>
      </w:r>
    </w:p>
    <w:p w14:paraId="78601CA8">
      <w:pPr>
        <w:jc w:val="center"/>
        <w:rPr>
          <w:rFonts w:eastAsia="Malgun Gothic"/>
          <w:bCs/>
        </w:rPr>
      </w:pPr>
      <m:oMath>
        <m:f>
          <m:fPr>
            <m:ctrlPr>
              <w:rPr>
                <w:rFonts w:ascii="Cambria Math" w:hAnsi="Cambria Math" w:eastAsia="Malgun Gothic"/>
                <w:i/>
              </w:rPr>
            </m:ctrlPr>
          </m:fPr>
          <m:num>
            <m:r>
              <m:rPr/>
              <w:rPr>
                <w:rFonts w:ascii="Cambria Math" w:hAnsi="Cambria Math" w:eastAsia="Malgun Gothic"/>
              </w:rPr>
              <m:t>1</m:t>
            </m:r>
            <m:ctrlPr>
              <w:rPr>
                <w:rFonts w:ascii="Cambria Math" w:hAnsi="Cambria Math" w:eastAsia="Malgun Gothic"/>
                <w:i/>
              </w:rPr>
            </m:ctrlPr>
          </m:num>
          <m:den>
            <m:sSup>
              <m:sSupPr>
                <m:ctrlPr>
                  <w:rPr>
                    <w:rFonts w:ascii="Cambria Math" w:hAnsi="Cambria Math" w:eastAsia="Malgun Gothic"/>
                    <w:i/>
                  </w:rPr>
                </m:ctrlPr>
              </m:sSupPr>
              <m:e>
                <m:r>
                  <m:rPr/>
                  <w:rPr>
                    <w:rFonts w:ascii="Cambria Math" w:hAnsi="Cambria Math" w:eastAsia="Malgun Gothic"/>
                  </w:rPr>
                  <m:t>E</m:t>
                </m:r>
                <m:ctrlPr>
                  <w:rPr>
                    <w:rFonts w:ascii="Cambria Math" w:hAnsi="Cambria Math" w:eastAsia="Malgun Gothic"/>
                    <w:i/>
                  </w:rPr>
                </m:ctrlPr>
              </m:e>
              <m:sup>
                <m:r>
                  <m:rPr/>
                  <w:rPr>
                    <w:rFonts w:ascii="Cambria Math" w:hAnsi="Cambria Math" w:eastAsia="Malgun Gothic"/>
                  </w:rPr>
                  <m:t>∗</m:t>
                </m:r>
                <m:ctrlPr>
                  <w:rPr>
                    <w:rFonts w:ascii="Cambria Math" w:hAnsi="Cambria Math" w:eastAsia="Malgun Gothic"/>
                    <w:i/>
                  </w:rPr>
                </m:ctrlPr>
              </m:sup>
            </m:sSup>
            <m:ctrlPr>
              <w:rPr>
                <w:rFonts w:ascii="Cambria Math" w:hAnsi="Cambria Math" w:eastAsia="Malgun Gothic"/>
                <w:i/>
              </w:rPr>
            </m:ctrlPr>
          </m:den>
        </m:f>
        <m:r>
          <m:rPr>
            <m:sty m:val="p"/>
          </m:rPr>
          <w:rPr>
            <w:rFonts w:ascii="Cambria Math" w:hAnsi="Cambria Math" w:eastAsia="Malgun Gothic"/>
          </w:rPr>
          <m:t>=</m:t>
        </m:r>
        <m:f>
          <m:fPr>
            <m:ctrlPr>
              <w:rPr>
                <w:rFonts w:ascii="Cambria Math" w:hAnsi="Cambria Math" w:eastAsia="Malgun Gothic"/>
                <w:bCs/>
              </w:rPr>
            </m:ctrlPr>
          </m:fPr>
          <m:num>
            <m:r>
              <m:rPr/>
              <w:rPr>
                <w:rFonts w:ascii="Cambria Math" w:hAnsi="Cambria Math" w:eastAsia="Malgun Gothic"/>
              </w:rPr>
              <m:t>1−</m:t>
            </m:r>
            <m:sSubSup>
              <m:sSubSupPr>
                <m:ctrlPr>
                  <w:rPr>
                    <w:rFonts w:ascii="Cambria Math" w:hAnsi="Cambria Math" w:eastAsia="Malgun Gothic"/>
                    <w:bCs/>
                    <w:i/>
                  </w:rPr>
                </m:ctrlPr>
              </m:sSubSupPr>
              <m:e>
                <m:r>
                  <m:rPr/>
                  <w:rPr>
                    <w:rFonts w:ascii="Cambria Math" w:hAnsi="Cambria Math" w:eastAsia="Malgun Gothic"/>
                  </w:rPr>
                  <m:t>v</m:t>
                </m:r>
                <m:ctrlPr>
                  <w:rPr>
                    <w:rFonts w:ascii="Cambria Math" w:hAnsi="Cambria Math" w:eastAsia="Malgun Gothic"/>
                    <w:bCs/>
                    <w:i/>
                  </w:rPr>
                </m:ctrlPr>
              </m:e>
              <m:sub>
                <m:r>
                  <m:rPr/>
                  <w:rPr>
                    <w:rFonts w:ascii="Cambria Math" w:hAnsi="Cambria Math" w:eastAsia="Malgun Gothic"/>
                  </w:rPr>
                  <m:t>1</m:t>
                </m:r>
                <m:ctrlPr>
                  <w:rPr>
                    <w:rFonts w:ascii="Cambria Math" w:hAnsi="Cambria Math" w:eastAsia="Malgun Gothic"/>
                    <w:bCs/>
                    <w:i/>
                  </w:rPr>
                </m:ctrlPr>
              </m:sub>
              <m:sup>
                <m:r>
                  <m:rPr/>
                  <w:rPr>
                    <w:rFonts w:ascii="Cambria Math" w:hAnsi="Cambria Math" w:eastAsia="Malgun Gothic"/>
                  </w:rPr>
                  <m:t>2</m:t>
                </m:r>
                <m:ctrlPr>
                  <w:rPr>
                    <w:rFonts w:ascii="Cambria Math" w:hAnsi="Cambria Math" w:eastAsia="Malgun Gothic"/>
                    <w:bCs/>
                    <w:i/>
                  </w:rPr>
                </m:ctrlPr>
              </m:sup>
            </m:sSubSup>
            <m:ctrlPr>
              <w:rPr>
                <w:rFonts w:ascii="Cambria Math" w:hAnsi="Cambria Math" w:eastAsia="Malgun Gothic"/>
                <w:bCs/>
              </w:rPr>
            </m:ctrlPr>
          </m:num>
          <m:den>
            <m:sSub>
              <m:sSubPr>
                <m:ctrlPr>
                  <w:rPr>
                    <w:rFonts w:ascii="Cambria Math" w:hAnsi="Cambria Math" w:eastAsia="Malgun Gothic"/>
                    <w:bCs/>
                    <w:i/>
                  </w:rPr>
                </m:ctrlPr>
              </m:sSubPr>
              <m:e>
                <m:r>
                  <m:rPr/>
                  <w:rPr>
                    <w:rFonts w:ascii="Cambria Math" w:hAnsi="Cambria Math" w:eastAsia="Malgun Gothic"/>
                  </w:rPr>
                  <m:t>E</m:t>
                </m:r>
                <m:ctrlPr>
                  <w:rPr>
                    <w:rFonts w:ascii="Cambria Math" w:hAnsi="Cambria Math" w:eastAsia="Malgun Gothic"/>
                    <w:bCs/>
                    <w:i/>
                  </w:rPr>
                </m:ctrlPr>
              </m:e>
              <m:sub>
                <m:r>
                  <m:rPr/>
                  <w:rPr>
                    <w:rFonts w:ascii="Cambria Math" w:hAnsi="Cambria Math" w:eastAsia="Malgun Gothic"/>
                  </w:rPr>
                  <m:t>1</m:t>
                </m:r>
                <m:ctrlPr>
                  <w:rPr>
                    <w:rFonts w:ascii="Cambria Math" w:hAnsi="Cambria Math" w:eastAsia="Malgun Gothic"/>
                    <w:bCs/>
                    <w:i/>
                  </w:rPr>
                </m:ctrlPr>
              </m:sub>
            </m:sSub>
            <m:ctrlPr>
              <w:rPr>
                <w:rFonts w:ascii="Cambria Math" w:hAnsi="Cambria Math" w:eastAsia="Malgun Gothic"/>
                <w:bCs/>
              </w:rPr>
            </m:ctrlPr>
          </m:den>
        </m:f>
        <m:r>
          <m:rPr/>
          <w:rPr>
            <w:rFonts w:ascii="Cambria Math" w:hAnsi="Cambria Math" w:eastAsia="Malgun Gothic"/>
          </w:rPr>
          <m:t>+</m:t>
        </m:r>
        <m:f>
          <m:fPr>
            <m:ctrlPr>
              <w:rPr>
                <w:rFonts w:ascii="Cambria Math" w:hAnsi="Cambria Math" w:eastAsia="Malgun Gothic"/>
                <w:bCs/>
              </w:rPr>
            </m:ctrlPr>
          </m:fPr>
          <m:num>
            <m:r>
              <m:rPr/>
              <w:rPr>
                <w:rFonts w:ascii="Cambria Math" w:hAnsi="Cambria Math" w:eastAsia="Malgun Gothic"/>
              </w:rPr>
              <m:t>1−</m:t>
            </m:r>
            <m:sSubSup>
              <m:sSubSupPr>
                <m:ctrlPr>
                  <w:rPr>
                    <w:rFonts w:ascii="Cambria Math" w:hAnsi="Cambria Math" w:eastAsia="Malgun Gothic"/>
                    <w:bCs/>
                    <w:i/>
                  </w:rPr>
                </m:ctrlPr>
              </m:sSubSupPr>
              <m:e>
                <m:r>
                  <m:rPr/>
                  <w:rPr>
                    <w:rFonts w:ascii="Cambria Math" w:hAnsi="Cambria Math" w:eastAsia="Malgun Gothic"/>
                  </w:rPr>
                  <m:t>v</m:t>
                </m:r>
                <m:ctrlPr>
                  <w:rPr>
                    <w:rFonts w:ascii="Cambria Math" w:hAnsi="Cambria Math" w:eastAsia="Malgun Gothic"/>
                    <w:bCs/>
                    <w:i/>
                  </w:rPr>
                </m:ctrlPr>
              </m:e>
              <m:sub>
                <m:r>
                  <m:rPr/>
                  <w:rPr>
                    <w:rFonts w:ascii="Cambria Math" w:hAnsi="Cambria Math" w:eastAsia="Malgun Gothic"/>
                  </w:rPr>
                  <m:t>2</m:t>
                </m:r>
                <m:ctrlPr>
                  <w:rPr>
                    <w:rFonts w:ascii="Cambria Math" w:hAnsi="Cambria Math" w:eastAsia="Malgun Gothic"/>
                    <w:bCs/>
                    <w:i/>
                  </w:rPr>
                </m:ctrlPr>
              </m:sub>
              <m:sup>
                <m:r>
                  <m:rPr/>
                  <w:rPr>
                    <w:rFonts w:ascii="Cambria Math" w:hAnsi="Cambria Math" w:eastAsia="Malgun Gothic"/>
                  </w:rPr>
                  <m:t>2</m:t>
                </m:r>
                <m:ctrlPr>
                  <w:rPr>
                    <w:rFonts w:ascii="Cambria Math" w:hAnsi="Cambria Math" w:eastAsia="Malgun Gothic"/>
                    <w:bCs/>
                    <w:i/>
                  </w:rPr>
                </m:ctrlPr>
              </m:sup>
            </m:sSubSup>
            <m:ctrlPr>
              <w:rPr>
                <w:rFonts w:ascii="Cambria Math" w:hAnsi="Cambria Math" w:eastAsia="Malgun Gothic"/>
                <w:bCs/>
              </w:rPr>
            </m:ctrlPr>
          </m:num>
          <m:den>
            <m:sSub>
              <m:sSubPr>
                <m:ctrlPr>
                  <w:rPr>
                    <w:rFonts w:ascii="Cambria Math" w:hAnsi="Cambria Math" w:eastAsia="Malgun Gothic"/>
                    <w:bCs/>
                    <w:i/>
                  </w:rPr>
                </m:ctrlPr>
              </m:sSubPr>
              <m:e>
                <m:r>
                  <m:rPr/>
                  <w:rPr>
                    <w:rFonts w:ascii="Cambria Math" w:hAnsi="Cambria Math" w:eastAsia="Malgun Gothic"/>
                  </w:rPr>
                  <m:t>E</m:t>
                </m:r>
                <m:ctrlPr>
                  <w:rPr>
                    <w:rFonts w:ascii="Cambria Math" w:hAnsi="Cambria Math" w:eastAsia="Malgun Gothic"/>
                    <w:bCs/>
                    <w:i/>
                  </w:rPr>
                </m:ctrlPr>
              </m:e>
              <m:sub>
                <m:r>
                  <m:rPr/>
                  <w:rPr>
                    <w:rFonts w:ascii="Cambria Math" w:hAnsi="Cambria Math" w:eastAsia="Malgun Gothic"/>
                  </w:rPr>
                  <m:t>2</m:t>
                </m:r>
                <m:ctrlPr>
                  <w:rPr>
                    <w:rFonts w:ascii="Cambria Math" w:hAnsi="Cambria Math" w:eastAsia="Malgun Gothic"/>
                    <w:bCs/>
                    <w:i/>
                  </w:rPr>
                </m:ctrlPr>
              </m:sub>
            </m:sSub>
            <m:ctrlPr>
              <w:rPr>
                <w:rFonts w:ascii="Cambria Math" w:hAnsi="Cambria Math" w:eastAsia="Malgun Gothic"/>
                <w:bCs/>
              </w:rPr>
            </m:ctrlPr>
          </m:den>
        </m:f>
      </m:oMath>
      <w:r>
        <w:rPr>
          <w:rFonts w:eastAsia="Malgun Gothic"/>
          <w:bCs/>
        </w:rPr>
        <w:t xml:space="preserve">      (4-2)</w:t>
      </w:r>
    </w:p>
    <w:p w14:paraId="50706AD9">
      <w:pPr>
        <w:jc w:val="center"/>
        <w:rPr>
          <w:rFonts w:eastAsia="Malgun Gothic"/>
          <w:bCs/>
        </w:rPr>
      </w:pPr>
      <m:oMath>
        <m:r>
          <m:rPr/>
          <w:rPr>
            <w:rFonts w:ascii="Cambria Math" w:hAnsi="Cambria Math" w:eastAsia="Malgun Gothic"/>
          </w:rPr>
          <m:t>F∝kδ=</m:t>
        </m:r>
        <m:d>
          <m:dPr>
            <m:begChr m:val="（"/>
            <m:endChr m:val="）"/>
            <m:ctrlPr>
              <w:rPr>
                <w:rFonts w:ascii="Cambria Math" w:hAnsi="Cambria Math" w:eastAsia="Malgun Gothic"/>
                <w:i/>
              </w:rPr>
            </m:ctrlPr>
          </m:dPr>
          <m:e>
            <m:f>
              <m:fPr>
                <m:ctrlPr>
                  <w:rPr>
                    <w:rFonts w:ascii="Cambria Math" w:hAnsi="Cambria Math" w:eastAsia="Malgun Gothic"/>
                    <w:i/>
                  </w:rPr>
                </m:ctrlPr>
              </m:fPr>
              <m:num>
                <m:r>
                  <m:rPr/>
                  <w:rPr>
                    <w:rFonts w:ascii="Cambria Math" w:hAnsi="Cambria Math" w:eastAsia="Malgun Gothic"/>
                  </w:rPr>
                  <m:t>1</m:t>
                </m:r>
                <m:ctrlPr>
                  <w:rPr>
                    <w:rFonts w:ascii="Cambria Math" w:hAnsi="Cambria Math" w:eastAsia="Malgun Gothic"/>
                    <w:i/>
                  </w:rPr>
                </m:ctrlPr>
              </m:num>
              <m:den>
                <m:r>
                  <m:rPr/>
                  <w:rPr>
                    <w:rFonts w:ascii="Cambria Math" w:hAnsi="Cambria Math" w:eastAsia="Malgun Gothic"/>
                  </w:rPr>
                  <m:t>2</m:t>
                </m:r>
                <m:ctrlPr>
                  <w:rPr>
                    <w:rFonts w:ascii="Cambria Math" w:hAnsi="Cambria Math" w:eastAsia="Malgun Gothic"/>
                    <w:i/>
                  </w:rPr>
                </m:ctrlPr>
              </m:den>
            </m:f>
            <m:sSup>
              <m:sSupPr>
                <m:ctrlPr>
                  <w:rPr>
                    <w:rFonts w:ascii="Cambria Math" w:hAnsi="Cambria Math" w:eastAsia="Malgun Gothic"/>
                    <w:i/>
                  </w:rPr>
                </m:ctrlPr>
              </m:sSupPr>
              <m:e>
                <m:r>
                  <m:rPr/>
                  <w:rPr>
                    <w:rFonts w:ascii="Cambria Math" w:hAnsi="Cambria Math" w:eastAsia="Malgun Gothic"/>
                  </w:rPr>
                  <m:t>δ</m:t>
                </m:r>
                <m:ctrlPr>
                  <w:rPr>
                    <w:rFonts w:ascii="Cambria Math" w:hAnsi="Cambria Math" w:eastAsia="Malgun Gothic"/>
                    <w:i/>
                  </w:rPr>
                </m:ctrlPr>
              </m:e>
              <m:sup>
                <m:r>
                  <m:rPr/>
                  <w:rPr>
                    <w:rFonts w:ascii="Cambria Math" w:hAnsi="Cambria Math" w:eastAsia="Malgun Gothic"/>
                  </w:rPr>
                  <m:t>2</m:t>
                </m:r>
                <m:ctrlPr>
                  <w:rPr>
                    <w:rFonts w:ascii="Cambria Math" w:hAnsi="Cambria Math" w:eastAsia="Malgun Gothic"/>
                    <w:i/>
                  </w:rPr>
                </m:ctrlPr>
              </m:sup>
            </m:sSup>
            <m:r>
              <m:rPr/>
              <w:rPr>
                <w:rFonts w:ascii="Cambria Math" w:hAnsi="Cambria Math" w:eastAsia="Malgun Gothic"/>
              </w:rPr>
              <m:t>k</m:t>
            </m:r>
            <m:ctrlPr>
              <w:rPr>
                <w:rFonts w:ascii="Cambria Math" w:hAnsi="Cambria Math" w:eastAsia="Malgun Gothic"/>
                <w:i/>
              </w:rPr>
            </m:ctrlPr>
          </m:e>
        </m:d>
        <m:r>
          <m:rPr/>
          <w:rPr>
            <w:rFonts w:ascii="Cambria Math" w:hAnsi="Cambria Math" w:eastAsia="Malgun Gothic"/>
          </w:rPr>
          <m:t>∗2/δ</m:t>
        </m:r>
      </m:oMath>
      <w:r>
        <w:rPr>
          <w:rFonts w:ascii="Cambria Math" w:hAnsi="Cambria Math" w:eastAsia="Malgun Gothic"/>
          <w:i/>
        </w:rPr>
        <w:t xml:space="preserve"> </w:t>
      </w:r>
      <w:r>
        <w:rPr>
          <w:rFonts w:eastAsia="Malgun Gothic"/>
          <w:bCs/>
        </w:rPr>
        <w:t xml:space="preserve">  （4-3）</w:t>
      </w:r>
    </w:p>
    <w:p w14:paraId="2247237B">
      <w:pPr>
        <w:rPr>
          <w:rFonts w:eastAsia="Malgun Gothic"/>
        </w:rPr>
      </w:pPr>
      <w:r>
        <w:rPr>
          <w:rFonts w:eastAsia="Malgun Gothic"/>
        </w:rPr>
        <w:t xml:space="preserve">In addition to increasing the stiffness of the film above the failed film layer, the polymer chain structure, cross-linking density, and special fillers of the colloid above the failed film layer can also be adjusted to improve its loss factor and loss modulus under high-speed impact frequency, as shown in Figure 5. When silicone gel with a high loss factor (tan </w:t>
      </w:r>
      <w:r>
        <w:rPr>
          <w:rFonts w:eastAsia="Malgun Gothic"/>
          <w:i/>
          <w:iCs/>
        </w:rPr>
        <w:t>δ</w:t>
      </w:r>
      <w:r>
        <w:rPr>
          <w:rFonts w:eastAsia="Malgun Gothic"/>
        </w:rPr>
        <w:t xml:space="preserve">) is subjected to impact compression and shear, it can convert a large amount of impact kinetic energy into thermal energy through intermolecular friction, which means </w:t>
      </w:r>
    </w:p>
    <w:p w14:paraId="185206B3">
      <w:r>
        <w:rPr>
          <w:rFonts w:eastAsia="Malgun Gothic"/>
        </w:rPr>
        <w:t>That the energy transmitted to the fragile layers such as the lower metal and inorganic layers is effectively reduced. Based on this theoretical analysis, the impact resistance performance is optimally improved by 23% (base VS case5)</w:t>
      </w:r>
      <w:r>
        <w:t xml:space="preserve"> by</w:t>
      </w:r>
      <w:r>
        <w:rPr>
          <w:rFonts w:eastAsia="Malgun Gothic"/>
        </w:rPr>
        <w:t xml:space="preserve"> optimization of supporting film adhesive material after optimizing the supporting film material (see Figure6 and Table 1).</w:t>
      </w:r>
    </w:p>
    <w:p w14:paraId="2C0F8057">
      <w:pPr>
        <w:jc w:val="center"/>
        <w:rPr>
          <w:rFonts w:eastAsia="Malgun Gothic"/>
          <w:b/>
        </w:rPr>
      </w:pPr>
      <w:r>
        <w:rPr>
          <w:rFonts w:ascii="Arial" w:hAnsi="Arial" w:eastAsia="微软雅黑" w:cs="Arial"/>
          <w:b/>
          <w:kern w:val="2"/>
          <w:szCs w:val="22"/>
          <w:lang w:eastAsia="zh-CN"/>
        </w:rPr>
        <w:drawing>
          <wp:inline distT="0" distB="0" distL="0" distR="0">
            <wp:extent cx="1424305" cy="1068705"/>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63057" cy="1097853"/>
                    </a:xfrm>
                    <a:prstGeom prst="rect">
                      <a:avLst/>
                    </a:prstGeom>
                    <a:noFill/>
                  </pic:spPr>
                </pic:pic>
              </a:graphicData>
            </a:graphic>
          </wp:inline>
        </w:drawing>
      </w:r>
      <w:r>
        <w:rPr>
          <w:rFonts w:ascii="Arial" w:hAnsi="Arial" w:eastAsia="微软雅黑" w:cs="Arial"/>
          <w:b/>
          <w:kern w:val="2"/>
          <w:szCs w:val="22"/>
          <w:lang w:eastAsia="zh-CN"/>
        </w:rPr>
        <w:drawing>
          <wp:inline distT="0" distB="0" distL="0" distR="0">
            <wp:extent cx="1418590" cy="10648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67109" cy="1101160"/>
                    </a:xfrm>
                    <a:prstGeom prst="rect">
                      <a:avLst/>
                    </a:prstGeom>
                    <a:noFill/>
                  </pic:spPr>
                </pic:pic>
              </a:graphicData>
            </a:graphic>
          </wp:inline>
        </w:drawing>
      </w:r>
    </w:p>
    <w:p w14:paraId="03BCE9C7">
      <w:pPr>
        <w:jc w:val="center"/>
        <w:rPr>
          <w:rFonts w:ascii="Arial" w:hAnsi="Arial" w:eastAsia="Malgun Gothic" w:cs="Arial"/>
          <w:szCs w:val="18"/>
        </w:rPr>
      </w:pPr>
      <w:r>
        <w:rPr>
          <w:rFonts w:ascii="Arial" w:hAnsi="Arial" w:cs="Arial"/>
          <w:b/>
          <w:szCs w:val="18"/>
        </w:rPr>
        <w:t xml:space="preserve">Figure 5. </w:t>
      </w:r>
      <w:r>
        <w:rPr>
          <w:rFonts w:ascii="Arial" w:hAnsi="Arial" w:cs="Arial"/>
          <w:szCs w:val="18"/>
        </w:rPr>
        <w:t>Chart of Loss Modulus and Loss Factor</w:t>
      </w:r>
    </w:p>
    <w:p w14:paraId="1336021E">
      <w:pPr>
        <w:rPr>
          <w:rFonts w:eastAsia="Malgun Gothic"/>
          <w:b/>
        </w:rPr>
        <w:sectPr>
          <w:type w:val="continuous"/>
          <w:pgSz w:w="12240" w:h="15840"/>
          <w:pgMar w:top="1224" w:right="1080" w:bottom="1440" w:left="1080" w:header="720" w:footer="576" w:gutter="0"/>
          <w:cols w:space="490" w:num="2"/>
          <w:titlePg/>
          <w:docGrid w:linePitch="360" w:charSpace="0"/>
        </w:sectPr>
      </w:pPr>
    </w:p>
    <w:p w14:paraId="3CB9BC9A">
      <w:pPr>
        <w:jc w:val="center"/>
        <w:rPr>
          <w:rFonts w:eastAsia="Malgun Gothic"/>
          <w:b/>
        </w:rPr>
      </w:pPr>
    </w:p>
    <w:p w14:paraId="10194416">
      <w:pPr>
        <w:jc w:val="center"/>
        <w:rPr>
          <w:rFonts w:eastAsia="Malgun Gothic"/>
          <w:b/>
        </w:rPr>
      </w:pPr>
    </w:p>
    <w:p w14:paraId="3EDF12D4">
      <w:pPr>
        <w:jc w:val="center"/>
        <w:rPr>
          <w:rFonts w:eastAsia="Malgun Gothic"/>
          <w:b/>
        </w:rPr>
      </w:pPr>
    </w:p>
    <w:p w14:paraId="63996CEB">
      <w:pPr>
        <w:jc w:val="center"/>
        <w:rPr>
          <w:rFonts w:eastAsia="Malgun Gothic"/>
        </w:rPr>
      </w:pPr>
      <w:r>
        <w:rPr>
          <w:rFonts w:eastAsia="Malgun Gothic"/>
          <w:b/>
        </w:rPr>
        <w:t>Table 1</w:t>
      </w:r>
      <w:r>
        <w:rPr>
          <w:rFonts w:eastAsia="Malgun Gothic"/>
        </w:rPr>
        <w:t>. Module Material Optimization</w:t>
      </w:r>
    </w:p>
    <w:tbl>
      <w:tblPr>
        <w:tblStyle w:val="15"/>
        <w:tblW w:w="7651"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951"/>
        <w:gridCol w:w="1230"/>
        <w:gridCol w:w="1510"/>
        <w:gridCol w:w="1964"/>
        <w:gridCol w:w="1996"/>
      </w:tblGrid>
      <w:tr w14:paraId="5039A479">
        <w:trPr>
          <w:trHeight w:val="227" w:hRule="exact"/>
          <w:jc w:val="center"/>
        </w:trPr>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7F4012E1">
            <w:pPr>
              <w:widowControl/>
              <w:autoSpaceDE/>
              <w:autoSpaceDN/>
              <w:adjustRightInd/>
              <w:jc w:val="center"/>
              <w:rPr>
                <w:sz w:val="16"/>
                <w:szCs w:val="16"/>
                <w:lang w:eastAsia="zh-CN"/>
              </w:rPr>
            </w:pPr>
            <w:r>
              <w:rPr>
                <w:rFonts w:eastAsia="Malgun Gothic"/>
                <w:b/>
                <w:bCs/>
                <w:color w:val="000000"/>
                <w:sz w:val="16"/>
                <w:szCs w:val="16"/>
                <w:lang w:eastAsia="zh-CN"/>
              </w:rPr>
              <w:t>Material</w:t>
            </w:r>
          </w:p>
        </w:tc>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58214DEE">
            <w:pPr>
              <w:widowControl/>
              <w:autoSpaceDE/>
              <w:autoSpaceDN/>
              <w:adjustRightInd/>
              <w:jc w:val="center"/>
              <w:rPr>
                <w:sz w:val="16"/>
                <w:szCs w:val="16"/>
                <w:lang w:eastAsia="zh-CN"/>
              </w:rPr>
            </w:pPr>
            <w:r>
              <w:rPr>
                <w:rFonts w:eastAsia="Malgun Gothic"/>
                <w:b/>
                <w:bCs/>
                <w:color w:val="000000"/>
                <w:sz w:val="16"/>
                <w:szCs w:val="16"/>
                <w:lang w:eastAsia="zh-CN"/>
              </w:rPr>
              <w:t>Thickness</w:t>
            </w:r>
            <w:r>
              <w:rPr>
                <w:b/>
                <w:bCs/>
                <w:color w:val="000000"/>
                <w:sz w:val="16"/>
                <w:szCs w:val="16"/>
                <w:lang w:eastAsia="zh-CN"/>
              </w:rPr>
              <w:t>(</w:t>
            </w:r>
            <w:r>
              <w:rPr>
                <w:rFonts w:eastAsia="Malgun Gothic"/>
                <w:b/>
                <w:bCs/>
                <w:color w:val="000000"/>
                <w:sz w:val="16"/>
                <w:szCs w:val="16"/>
                <w:lang w:eastAsia="zh-CN"/>
              </w:rPr>
              <w:t>um)</w:t>
            </w:r>
          </w:p>
        </w:tc>
        <w:tc>
          <w:tcPr>
            <w:tcW w:w="1638"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10B7779C">
            <w:pPr>
              <w:widowControl/>
              <w:autoSpaceDE/>
              <w:autoSpaceDN/>
              <w:adjustRightInd/>
              <w:jc w:val="center"/>
              <w:rPr>
                <w:sz w:val="16"/>
                <w:szCs w:val="16"/>
                <w:lang w:eastAsia="zh-CN"/>
              </w:rPr>
            </w:pPr>
            <w:r>
              <w:rPr>
                <w:rFonts w:eastAsia="Malgun Gothic"/>
                <w:b/>
                <w:bCs/>
                <w:color w:val="000000"/>
                <w:sz w:val="16"/>
                <w:szCs w:val="16"/>
                <w:lang w:eastAsia="zh-CN"/>
              </w:rPr>
              <w:t>Modulus (G Pa)</w:t>
            </w:r>
          </w:p>
        </w:tc>
        <w:tc>
          <w:tcPr>
            <w:tcW w:w="202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2DF357A4">
            <w:pPr>
              <w:widowControl/>
              <w:autoSpaceDE/>
              <w:autoSpaceDN/>
              <w:adjustRightInd/>
              <w:jc w:val="center"/>
              <w:rPr>
                <w:b/>
                <w:bCs/>
                <w:color w:val="000000"/>
                <w:sz w:val="16"/>
                <w:szCs w:val="16"/>
                <w:lang w:eastAsia="zh-CN"/>
              </w:rPr>
            </w:pPr>
            <w:r>
              <w:rPr>
                <w:b/>
                <w:bCs/>
                <w:color w:val="000000"/>
                <w:sz w:val="16"/>
                <w:szCs w:val="16"/>
                <w:lang w:eastAsia="zh-CN"/>
              </w:rPr>
              <w:t>Material Selection</w:t>
            </w:r>
          </w:p>
        </w:tc>
        <w:tc>
          <w:tcPr>
            <w:tcW w:w="2024"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29EBA585">
            <w:pPr>
              <w:widowControl/>
              <w:autoSpaceDE/>
              <w:autoSpaceDN/>
              <w:adjustRightInd/>
              <w:jc w:val="center"/>
              <w:rPr>
                <w:sz w:val="16"/>
                <w:szCs w:val="16"/>
                <w:lang w:eastAsia="zh-CN"/>
              </w:rPr>
            </w:pPr>
            <w:r>
              <w:rPr>
                <w:rFonts w:eastAsia="Malgun Gothic"/>
                <w:b/>
                <w:bCs/>
                <w:color w:val="000000"/>
                <w:sz w:val="16"/>
                <w:szCs w:val="16"/>
                <w:lang w:eastAsia="zh-CN"/>
              </w:rPr>
              <w:t>Strain (%)</w:t>
            </w:r>
          </w:p>
        </w:tc>
      </w:tr>
      <w:tr w14:paraId="47525264">
        <w:trPr>
          <w:trHeight w:val="227" w:hRule="exact"/>
          <w:jc w:val="center"/>
        </w:trPr>
        <w:tc>
          <w:tcPr>
            <w:tcW w:w="983" w:type="dxa"/>
            <w:vMerge w:val="restart"/>
            <w:tcBorders>
              <w:top w:val="single" w:color="auto" w:sz="4" w:space="0"/>
              <w:bottom w:val="nil"/>
            </w:tcBorders>
            <w:shd w:val="clear" w:color="auto" w:fill="auto"/>
            <w:tcMar>
              <w:top w:w="15" w:type="dxa"/>
              <w:left w:w="108" w:type="dxa"/>
              <w:bottom w:w="0" w:type="dxa"/>
              <w:right w:w="108" w:type="dxa"/>
            </w:tcMar>
            <w:vAlign w:val="center"/>
          </w:tcPr>
          <w:p w14:paraId="4E67A8E5">
            <w:pPr>
              <w:widowControl/>
              <w:autoSpaceDE/>
              <w:autoSpaceDN/>
              <w:adjustRightInd/>
              <w:jc w:val="center"/>
              <w:rPr>
                <w:sz w:val="16"/>
                <w:szCs w:val="16"/>
                <w:lang w:eastAsia="zh-CN"/>
              </w:rPr>
            </w:pPr>
            <w:r>
              <w:rPr>
                <w:rFonts w:eastAsia="Malgun Gothic"/>
                <w:color w:val="000000"/>
                <w:sz w:val="16"/>
                <w:szCs w:val="16"/>
                <w:lang w:eastAsia="zh-CN"/>
              </w:rPr>
              <w:t>Cu</w:t>
            </w:r>
          </w:p>
        </w:tc>
        <w:tc>
          <w:tcPr>
            <w:tcW w:w="983" w:type="dxa"/>
            <w:tcBorders>
              <w:top w:val="single" w:color="auto" w:sz="4" w:space="0"/>
              <w:bottom w:val="nil"/>
            </w:tcBorders>
            <w:shd w:val="clear" w:color="auto" w:fill="auto"/>
            <w:tcMar>
              <w:top w:w="15" w:type="dxa"/>
              <w:left w:w="108" w:type="dxa"/>
              <w:bottom w:w="0" w:type="dxa"/>
              <w:right w:w="108" w:type="dxa"/>
            </w:tcMar>
            <w:vAlign w:val="center"/>
          </w:tcPr>
          <w:p w14:paraId="79C74B74">
            <w:pPr>
              <w:widowControl/>
              <w:autoSpaceDE/>
              <w:autoSpaceDN/>
              <w:adjustRightInd/>
              <w:jc w:val="center"/>
              <w:rPr>
                <w:sz w:val="16"/>
                <w:szCs w:val="16"/>
                <w:lang w:eastAsia="zh-CN"/>
              </w:rPr>
            </w:pPr>
            <w:r>
              <w:rPr>
                <w:rFonts w:eastAsia="Malgun Gothic"/>
                <w:color w:val="000000"/>
                <w:sz w:val="16"/>
                <w:szCs w:val="16"/>
                <w:lang w:eastAsia="zh-CN"/>
              </w:rPr>
              <w:t>18/25/35</w:t>
            </w:r>
          </w:p>
        </w:tc>
        <w:tc>
          <w:tcPr>
            <w:tcW w:w="1638" w:type="dxa"/>
            <w:tcBorders>
              <w:top w:val="single" w:color="auto" w:sz="4" w:space="0"/>
              <w:bottom w:val="nil"/>
            </w:tcBorders>
            <w:shd w:val="clear" w:color="auto" w:fill="auto"/>
            <w:tcMar>
              <w:top w:w="15" w:type="dxa"/>
              <w:left w:w="108" w:type="dxa"/>
              <w:bottom w:w="0" w:type="dxa"/>
              <w:right w:w="108" w:type="dxa"/>
            </w:tcMar>
            <w:vAlign w:val="center"/>
          </w:tcPr>
          <w:p w14:paraId="6DA6A16A">
            <w:pPr>
              <w:widowControl/>
              <w:autoSpaceDE/>
              <w:autoSpaceDN/>
              <w:adjustRightInd/>
              <w:jc w:val="center"/>
              <w:rPr>
                <w:sz w:val="16"/>
                <w:szCs w:val="16"/>
                <w:lang w:eastAsia="zh-CN"/>
              </w:rPr>
            </w:pPr>
            <w:r>
              <w:rPr>
                <w:rFonts w:eastAsia="Malgun Gothic"/>
                <w:color w:val="000000"/>
                <w:sz w:val="16"/>
                <w:szCs w:val="16"/>
                <w:lang w:eastAsia="zh-CN"/>
              </w:rPr>
              <w:t>88</w:t>
            </w:r>
          </w:p>
        </w:tc>
        <w:tc>
          <w:tcPr>
            <w:tcW w:w="2023" w:type="dxa"/>
            <w:tcBorders>
              <w:top w:val="single" w:color="auto" w:sz="4" w:space="0"/>
              <w:bottom w:val="nil"/>
            </w:tcBorders>
            <w:shd w:val="clear" w:color="auto" w:fill="auto"/>
            <w:tcMar>
              <w:top w:w="15" w:type="dxa"/>
              <w:left w:w="108" w:type="dxa"/>
              <w:bottom w:w="0" w:type="dxa"/>
              <w:right w:w="108" w:type="dxa"/>
            </w:tcMar>
            <w:vAlign w:val="center"/>
          </w:tcPr>
          <w:p w14:paraId="2C8B5E83">
            <w:pPr>
              <w:widowControl/>
              <w:autoSpaceDE/>
              <w:autoSpaceDN/>
              <w:adjustRightInd/>
              <w:jc w:val="center"/>
              <w:rPr>
                <w:sz w:val="16"/>
                <w:szCs w:val="16"/>
                <w:lang w:eastAsia="zh-CN"/>
              </w:rPr>
            </w:pPr>
            <w:r>
              <w:rPr>
                <w:rFonts w:eastAsia="Malgun Gothic"/>
                <w:color w:val="000000"/>
                <w:sz w:val="16"/>
                <w:szCs w:val="16"/>
                <w:lang w:eastAsia="zh-CN"/>
              </w:rPr>
              <w:t>/</w:t>
            </w:r>
          </w:p>
        </w:tc>
        <w:tc>
          <w:tcPr>
            <w:tcW w:w="2024" w:type="dxa"/>
            <w:tcBorders>
              <w:top w:val="single" w:color="auto" w:sz="4" w:space="0"/>
              <w:bottom w:val="nil"/>
            </w:tcBorders>
            <w:shd w:val="clear" w:color="auto" w:fill="auto"/>
            <w:tcMar>
              <w:top w:w="15" w:type="dxa"/>
              <w:left w:w="108" w:type="dxa"/>
              <w:bottom w:w="0" w:type="dxa"/>
              <w:right w:w="108" w:type="dxa"/>
            </w:tcMar>
            <w:vAlign w:val="center"/>
          </w:tcPr>
          <w:p w14:paraId="79B59CEE">
            <w:pPr>
              <w:widowControl/>
              <w:autoSpaceDE/>
              <w:autoSpaceDN/>
              <w:adjustRightInd/>
              <w:jc w:val="center"/>
              <w:rPr>
                <w:sz w:val="16"/>
                <w:szCs w:val="16"/>
                <w:lang w:eastAsia="zh-CN"/>
              </w:rPr>
            </w:pPr>
            <w:r>
              <w:rPr>
                <w:color w:val="000000"/>
                <w:sz w:val="16"/>
                <w:szCs w:val="16"/>
                <w:lang w:eastAsia="zh-CN"/>
              </w:rPr>
              <w:t>1.6486/1.6312/1.6121</w:t>
            </w:r>
          </w:p>
        </w:tc>
      </w:tr>
      <w:tr w14:paraId="30C75BDB">
        <w:trPr>
          <w:trHeight w:val="227" w:hRule="exact"/>
          <w:jc w:val="center"/>
        </w:trPr>
        <w:tc>
          <w:tcPr>
            <w:tcW w:w="0" w:type="auto"/>
            <w:vMerge w:val="continue"/>
            <w:tcBorders>
              <w:top w:val="nil"/>
              <w:bottom w:val="single" w:color="auto" w:sz="4" w:space="0"/>
            </w:tcBorders>
            <w:vAlign w:val="center"/>
          </w:tcPr>
          <w:p w14:paraId="3C2FB0F4">
            <w:pPr>
              <w:widowControl/>
              <w:overflowPunct/>
              <w:autoSpaceDE/>
              <w:autoSpaceDN/>
              <w:adjustRightInd/>
              <w:spacing w:after="0"/>
              <w:jc w:val="center"/>
              <w:textAlignment w:val="auto"/>
              <w:rPr>
                <w:sz w:val="16"/>
                <w:szCs w:val="16"/>
                <w:lang w:eastAsia="zh-CN"/>
              </w:rPr>
            </w:pPr>
          </w:p>
        </w:tc>
        <w:tc>
          <w:tcPr>
            <w:tcW w:w="983" w:type="dxa"/>
            <w:tcBorders>
              <w:top w:val="nil"/>
              <w:bottom w:val="single" w:color="auto" w:sz="4" w:space="0"/>
            </w:tcBorders>
            <w:shd w:val="clear" w:color="auto" w:fill="auto"/>
            <w:tcMar>
              <w:top w:w="15" w:type="dxa"/>
              <w:left w:w="108" w:type="dxa"/>
              <w:bottom w:w="0" w:type="dxa"/>
              <w:right w:w="108" w:type="dxa"/>
            </w:tcMar>
            <w:vAlign w:val="center"/>
          </w:tcPr>
          <w:p w14:paraId="0CA44654">
            <w:pPr>
              <w:widowControl/>
              <w:autoSpaceDE/>
              <w:autoSpaceDN/>
              <w:adjustRightInd/>
              <w:jc w:val="center"/>
              <w:rPr>
                <w:sz w:val="16"/>
                <w:szCs w:val="16"/>
                <w:lang w:eastAsia="zh-CN"/>
              </w:rPr>
            </w:pPr>
            <w:r>
              <w:rPr>
                <w:rFonts w:eastAsia="Malgun Gothic"/>
                <w:color w:val="000000"/>
                <w:sz w:val="16"/>
                <w:szCs w:val="16"/>
                <w:lang w:eastAsia="zh-CN"/>
              </w:rPr>
              <w:t>25</w:t>
            </w:r>
          </w:p>
        </w:tc>
        <w:tc>
          <w:tcPr>
            <w:tcW w:w="1638" w:type="dxa"/>
            <w:tcBorders>
              <w:top w:val="nil"/>
              <w:bottom w:val="single" w:color="auto" w:sz="4" w:space="0"/>
            </w:tcBorders>
            <w:shd w:val="clear" w:color="auto" w:fill="auto"/>
            <w:tcMar>
              <w:top w:w="15" w:type="dxa"/>
              <w:left w:w="108" w:type="dxa"/>
              <w:bottom w:w="0" w:type="dxa"/>
              <w:right w:w="108" w:type="dxa"/>
            </w:tcMar>
            <w:vAlign w:val="center"/>
          </w:tcPr>
          <w:p w14:paraId="152AB526">
            <w:pPr>
              <w:widowControl/>
              <w:autoSpaceDE/>
              <w:autoSpaceDN/>
              <w:adjustRightInd/>
              <w:jc w:val="center"/>
              <w:rPr>
                <w:sz w:val="16"/>
                <w:szCs w:val="16"/>
                <w:lang w:eastAsia="zh-CN"/>
              </w:rPr>
            </w:pPr>
            <w:r>
              <w:rPr>
                <w:rFonts w:eastAsia="Malgun Gothic"/>
                <w:color w:val="000000"/>
                <w:sz w:val="16"/>
                <w:szCs w:val="16"/>
                <w:lang w:eastAsia="zh-CN"/>
              </w:rPr>
              <w:t>88/100/120</w:t>
            </w:r>
          </w:p>
        </w:tc>
        <w:tc>
          <w:tcPr>
            <w:tcW w:w="2023" w:type="dxa"/>
            <w:tcBorders>
              <w:top w:val="nil"/>
              <w:bottom w:val="single" w:color="auto" w:sz="4" w:space="0"/>
            </w:tcBorders>
            <w:shd w:val="clear" w:color="auto" w:fill="auto"/>
            <w:tcMar>
              <w:top w:w="15" w:type="dxa"/>
              <w:left w:w="108" w:type="dxa"/>
              <w:bottom w:w="0" w:type="dxa"/>
              <w:right w:w="108" w:type="dxa"/>
            </w:tcMar>
            <w:vAlign w:val="center"/>
          </w:tcPr>
          <w:p w14:paraId="227421DD">
            <w:pPr>
              <w:widowControl/>
              <w:autoSpaceDE/>
              <w:autoSpaceDN/>
              <w:adjustRightInd/>
              <w:jc w:val="center"/>
              <w:rPr>
                <w:sz w:val="16"/>
                <w:szCs w:val="16"/>
                <w:lang w:eastAsia="zh-CN"/>
              </w:rPr>
            </w:pPr>
            <w:r>
              <w:rPr>
                <w:color w:val="000000"/>
                <w:sz w:val="16"/>
                <w:szCs w:val="16"/>
                <w:lang w:eastAsia="zh-CN"/>
              </w:rPr>
              <w:t>/</w:t>
            </w:r>
          </w:p>
        </w:tc>
        <w:tc>
          <w:tcPr>
            <w:tcW w:w="2024" w:type="dxa"/>
            <w:tcBorders>
              <w:top w:val="nil"/>
              <w:bottom w:val="single" w:color="auto" w:sz="4" w:space="0"/>
            </w:tcBorders>
            <w:shd w:val="clear" w:color="auto" w:fill="auto"/>
            <w:tcMar>
              <w:top w:w="15" w:type="dxa"/>
              <w:left w:w="108" w:type="dxa"/>
              <w:bottom w:w="0" w:type="dxa"/>
              <w:right w:w="108" w:type="dxa"/>
            </w:tcMar>
            <w:vAlign w:val="center"/>
          </w:tcPr>
          <w:p w14:paraId="5C43D175">
            <w:pPr>
              <w:widowControl/>
              <w:autoSpaceDE/>
              <w:autoSpaceDN/>
              <w:adjustRightInd/>
              <w:jc w:val="center"/>
              <w:rPr>
                <w:sz w:val="16"/>
                <w:szCs w:val="16"/>
                <w:lang w:eastAsia="zh-CN"/>
              </w:rPr>
            </w:pPr>
            <w:r>
              <w:rPr>
                <w:rFonts w:eastAsia="Malgun Gothic"/>
                <w:color w:val="000000"/>
                <w:sz w:val="16"/>
                <w:szCs w:val="16"/>
                <w:lang w:eastAsia="zh-CN"/>
              </w:rPr>
              <w:t>1.6312/</w:t>
            </w:r>
            <w:r>
              <w:rPr>
                <w:color w:val="000000"/>
                <w:sz w:val="16"/>
                <w:szCs w:val="16"/>
                <w:lang w:eastAsia="zh-CN"/>
              </w:rPr>
              <w:t>1.6294/1.6247</w:t>
            </w:r>
          </w:p>
        </w:tc>
      </w:tr>
      <w:tr w14:paraId="0302A1A3">
        <w:trPr>
          <w:trHeight w:val="227" w:hRule="exact"/>
          <w:jc w:val="center"/>
        </w:trPr>
        <w:tc>
          <w:tcPr>
            <w:tcW w:w="983" w:type="dxa"/>
            <w:vMerge w:val="restart"/>
            <w:tcBorders>
              <w:top w:val="single" w:color="auto" w:sz="4" w:space="0"/>
              <w:bottom w:val="nil"/>
            </w:tcBorders>
            <w:shd w:val="clear" w:color="auto" w:fill="auto"/>
            <w:tcMar>
              <w:top w:w="15" w:type="dxa"/>
              <w:left w:w="108" w:type="dxa"/>
              <w:bottom w:w="0" w:type="dxa"/>
              <w:right w:w="108" w:type="dxa"/>
            </w:tcMar>
            <w:vAlign w:val="center"/>
          </w:tcPr>
          <w:p w14:paraId="6B1BBF0A">
            <w:pPr>
              <w:widowControl/>
              <w:autoSpaceDE/>
              <w:autoSpaceDN/>
              <w:adjustRightInd/>
              <w:jc w:val="center"/>
              <w:rPr>
                <w:sz w:val="16"/>
                <w:szCs w:val="16"/>
                <w:lang w:eastAsia="zh-CN"/>
              </w:rPr>
            </w:pPr>
            <w:r>
              <w:rPr>
                <w:color w:val="000000"/>
                <w:sz w:val="16"/>
                <w:szCs w:val="16"/>
                <w:lang w:eastAsia="zh-CN"/>
              </w:rPr>
              <w:t>gel</w:t>
            </w:r>
          </w:p>
        </w:tc>
        <w:tc>
          <w:tcPr>
            <w:tcW w:w="983" w:type="dxa"/>
            <w:tcBorders>
              <w:top w:val="single" w:color="auto" w:sz="4" w:space="0"/>
              <w:bottom w:val="nil"/>
            </w:tcBorders>
            <w:shd w:val="clear" w:color="auto" w:fill="auto"/>
            <w:tcMar>
              <w:top w:w="15" w:type="dxa"/>
              <w:left w:w="108" w:type="dxa"/>
              <w:bottom w:w="0" w:type="dxa"/>
              <w:right w:w="108" w:type="dxa"/>
            </w:tcMar>
            <w:vAlign w:val="center"/>
          </w:tcPr>
          <w:p w14:paraId="227CE4B6">
            <w:pPr>
              <w:widowControl/>
              <w:autoSpaceDE/>
              <w:autoSpaceDN/>
              <w:adjustRightInd/>
              <w:jc w:val="center"/>
              <w:rPr>
                <w:sz w:val="16"/>
                <w:szCs w:val="16"/>
                <w:lang w:eastAsia="zh-CN"/>
              </w:rPr>
            </w:pPr>
            <w:r>
              <w:rPr>
                <w:rFonts w:eastAsia="Malgun Gothic"/>
                <w:color w:val="000000"/>
                <w:sz w:val="16"/>
                <w:szCs w:val="16"/>
                <w:lang w:eastAsia="zh-CN"/>
              </w:rPr>
              <w:t>120/130/150</w:t>
            </w:r>
          </w:p>
        </w:tc>
        <w:tc>
          <w:tcPr>
            <w:tcW w:w="1638" w:type="dxa"/>
            <w:tcBorders>
              <w:top w:val="single" w:color="auto" w:sz="4" w:space="0"/>
              <w:bottom w:val="nil"/>
            </w:tcBorders>
            <w:shd w:val="clear" w:color="auto" w:fill="auto"/>
            <w:tcMar>
              <w:top w:w="15" w:type="dxa"/>
              <w:left w:w="108" w:type="dxa"/>
              <w:bottom w:w="0" w:type="dxa"/>
              <w:right w:w="108" w:type="dxa"/>
            </w:tcMar>
            <w:vAlign w:val="center"/>
          </w:tcPr>
          <w:p w14:paraId="2C5EDA2F">
            <w:pPr>
              <w:widowControl/>
              <w:autoSpaceDE/>
              <w:autoSpaceDN/>
              <w:adjustRightInd/>
              <w:jc w:val="center"/>
              <w:rPr>
                <w:sz w:val="16"/>
                <w:szCs w:val="16"/>
                <w:lang w:eastAsia="zh-CN"/>
              </w:rPr>
            </w:pPr>
            <w:r>
              <w:rPr>
                <w:rFonts w:eastAsia="Malgun Gothic"/>
                <w:color w:val="000000"/>
                <w:sz w:val="16"/>
                <w:szCs w:val="16"/>
                <w:lang w:eastAsia="zh-CN"/>
              </w:rPr>
              <w:t>/</w:t>
            </w:r>
          </w:p>
        </w:tc>
        <w:tc>
          <w:tcPr>
            <w:tcW w:w="2023" w:type="dxa"/>
            <w:tcBorders>
              <w:top w:val="single" w:color="auto" w:sz="4" w:space="0"/>
              <w:bottom w:val="nil"/>
            </w:tcBorders>
            <w:shd w:val="clear" w:color="auto" w:fill="auto"/>
            <w:tcMar>
              <w:top w:w="15" w:type="dxa"/>
              <w:left w:w="108" w:type="dxa"/>
              <w:bottom w:w="0" w:type="dxa"/>
              <w:right w:w="108" w:type="dxa"/>
            </w:tcMar>
            <w:vAlign w:val="center"/>
          </w:tcPr>
          <w:p w14:paraId="4DE4FC2A">
            <w:pPr>
              <w:widowControl/>
              <w:autoSpaceDE/>
              <w:autoSpaceDN/>
              <w:adjustRightInd/>
              <w:jc w:val="center"/>
              <w:rPr>
                <w:sz w:val="16"/>
                <w:szCs w:val="16"/>
                <w:lang w:eastAsia="zh-CN"/>
              </w:rPr>
            </w:pPr>
            <w:r>
              <w:rPr>
                <w:rFonts w:eastAsia="Malgun Gothic"/>
                <w:color w:val="000000"/>
                <w:sz w:val="16"/>
                <w:szCs w:val="16"/>
                <w:lang w:eastAsia="zh-CN"/>
              </w:rPr>
              <w:t>base</w:t>
            </w:r>
          </w:p>
        </w:tc>
        <w:tc>
          <w:tcPr>
            <w:tcW w:w="2024" w:type="dxa"/>
            <w:tcBorders>
              <w:top w:val="single" w:color="auto" w:sz="4" w:space="0"/>
              <w:bottom w:val="nil"/>
            </w:tcBorders>
            <w:shd w:val="clear" w:color="auto" w:fill="auto"/>
            <w:tcMar>
              <w:top w:w="15" w:type="dxa"/>
              <w:left w:w="108" w:type="dxa"/>
              <w:bottom w:w="0" w:type="dxa"/>
              <w:right w:w="108" w:type="dxa"/>
            </w:tcMar>
            <w:vAlign w:val="center"/>
          </w:tcPr>
          <w:p w14:paraId="64AAAED9">
            <w:pPr>
              <w:widowControl/>
              <w:autoSpaceDE/>
              <w:autoSpaceDN/>
              <w:adjustRightInd/>
              <w:jc w:val="center"/>
              <w:rPr>
                <w:sz w:val="16"/>
                <w:szCs w:val="16"/>
                <w:lang w:eastAsia="zh-CN"/>
              </w:rPr>
            </w:pPr>
            <w:r>
              <w:rPr>
                <w:rFonts w:eastAsia="Malgun Gothic"/>
                <w:color w:val="000000"/>
                <w:sz w:val="16"/>
                <w:szCs w:val="16"/>
                <w:lang w:eastAsia="zh-CN"/>
              </w:rPr>
              <w:t>1.0115/1.0072/0.9503</w:t>
            </w:r>
          </w:p>
        </w:tc>
      </w:tr>
      <w:tr w14:paraId="7EC55602">
        <w:trPr>
          <w:trHeight w:val="227" w:hRule="exact"/>
          <w:jc w:val="center"/>
        </w:trPr>
        <w:tc>
          <w:tcPr>
            <w:tcW w:w="0" w:type="auto"/>
            <w:vMerge w:val="continue"/>
            <w:tcBorders>
              <w:top w:val="nil"/>
              <w:bottom w:val="single" w:color="auto" w:sz="4" w:space="0"/>
            </w:tcBorders>
            <w:vAlign w:val="center"/>
          </w:tcPr>
          <w:p w14:paraId="16FFA5C9">
            <w:pPr>
              <w:widowControl/>
              <w:overflowPunct/>
              <w:autoSpaceDE/>
              <w:autoSpaceDN/>
              <w:adjustRightInd/>
              <w:spacing w:after="0"/>
              <w:jc w:val="center"/>
              <w:textAlignment w:val="auto"/>
              <w:rPr>
                <w:sz w:val="16"/>
                <w:szCs w:val="16"/>
                <w:lang w:eastAsia="zh-CN"/>
              </w:rPr>
            </w:pPr>
          </w:p>
        </w:tc>
        <w:tc>
          <w:tcPr>
            <w:tcW w:w="983" w:type="dxa"/>
            <w:tcBorders>
              <w:top w:val="nil"/>
              <w:bottom w:val="single" w:color="auto" w:sz="4" w:space="0"/>
            </w:tcBorders>
            <w:shd w:val="clear" w:color="auto" w:fill="auto"/>
            <w:tcMar>
              <w:top w:w="15" w:type="dxa"/>
              <w:left w:w="108" w:type="dxa"/>
              <w:bottom w:w="0" w:type="dxa"/>
              <w:right w:w="108" w:type="dxa"/>
            </w:tcMar>
            <w:vAlign w:val="center"/>
          </w:tcPr>
          <w:p w14:paraId="6887D301">
            <w:pPr>
              <w:widowControl/>
              <w:autoSpaceDE/>
              <w:autoSpaceDN/>
              <w:adjustRightInd/>
              <w:jc w:val="center"/>
              <w:rPr>
                <w:sz w:val="16"/>
                <w:szCs w:val="16"/>
                <w:lang w:eastAsia="zh-CN"/>
              </w:rPr>
            </w:pPr>
            <w:r>
              <w:rPr>
                <w:rFonts w:eastAsia="Malgun Gothic"/>
                <w:color w:val="000000"/>
                <w:sz w:val="16"/>
                <w:szCs w:val="16"/>
                <w:lang w:eastAsia="zh-CN"/>
              </w:rPr>
              <w:t>120</w:t>
            </w:r>
          </w:p>
        </w:tc>
        <w:tc>
          <w:tcPr>
            <w:tcW w:w="1638" w:type="dxa"/>
            <w:tcBorders>
              <w:top w:val="nil"/>
              <w:bottom w:val="single" w:color="auto" w:sz="4" w:space="0"/>
            </w:tcBorders>
            <w:shd w:val="clear" w:color="auto" w:fill="auto"/>
            <w:tcMar>
              <w:top w:w="15" w:type="dxa"/>
              <w:left w:w="108" w:type="dxa"/>
              <w:bottom w:w="0" w:type="dxa"/>
              <w:right w:w="108" w:type="dxa"/>
            </w:tcMar>
            <w:vAlign w:val="center"/>
          </w:tcPr>
          <w:p w14:paraId="3DB6CD0B">
            <w:pPr>
              <w:widowControl/>
              <w:autoSpaceDE/>
              <w:autoSpaceDN/>
              <w:adjustRightInd/>
              <w:jc w:val="center"/>
              <w:rPr>
                <w:sz w:val="16"/>
                <w:szCs w:val="16"/>
                <w:lang w:eastAsia="zh-CN"/>
              </w:rPr>
            </w:pPr>
            <w:r>
              <w:rPr>
                <w:rFonts w:eastAsia="Malgun Gothic"/>
                <w:color w:val="000000"/>
                <w:sz w:val="16"/>
                <w:szCs w:val="16"/>
                <w:lang w:eastAsia="zh-CN"/>
              </w:rPr>
              <w:t>/</w:t>
            </w:r>
          </w:p>
        </w:tc>
        <w:tc>
          <w:tcPr>
            <w:tcW w:w="2023" w:type="dxa"/>
            <w:tcBorders>
              <w:top w:val="nil"/>
              <w:bottom w:val="single" w:color="auto" w:sz="4" w:space="0"/>
            </w:tcBorders>
            <w:shd w:val="clear" w:color="auto" w:fill="auto"/>
            <w:tcMar>
              <w:top w:w="15" w:type="dxa"/>
              <w:left w:w="108" w:type="dxa"/>
              <w:bottom w:w="0" w:type="dxa"/>
              <w:right w:w="108" w:type="dxa"/>
            </w:tcMar>
            <w:vAlign w:val="center"/>
          </w:tcPr>
          <w:p w14:paraId="28E4E641">
            <w:pPr>
              <w:widowControl/>
              <w:autoSpaceDE/>
              <w:autoSpaceDN/>
              <w:adjustRightInd/>
              <w:jc w:val="center"/>
              <w:rPr>
                <w:sz w:val="16"/>
                <w:szCs w:val="16"/>
                <w:lang w:eastAsia="zh-CN"/>
              </w:rPr>
            </w:pPr>
            <w:r>
              <w:rPr>
                <w:rFonts w:eastAsia="Malgun Gothic"/>
                <w:color w:val="000000"/>
                <w:sz w:val="16"/>
                <w:szCs w:val="16"/>
                <w:lang w:eastAsia="zh-CN"/>
              </w:rPr>
              <w:t>base/case1/case2/case3</w:t>
            </w:r>
          </w:p>
        </w:tc>
        <w:tc>
          <w:tcPr>
            <w:tcW w:w="2024" w:type="dxa"/>
            <w:tcBorders>
              <w:top w:val="nil"/>
              <w:bottom w:val="single" w:color="auto" w:sz="4" w:space="0"/>
            </w:tcBorders>
            <w:shd w:val="clear" w:color="auto" w:fill="auto"/>
            <w:tcMar>
              <w:top w:w="15" w:type="dxa"/>
              <w:left w:w="108" w:type="dxa"/>
              <w:bottom w:w="0" w:type="dxa"/>
              <w:right w:w="108" w:type="dxa"/>
            </w:tcMar>
            <w:vAlign w:val="center"/>
          </w:tcPr>
          <w:p w14:paraId="70621B7C">
            <w:pPr>
              <w:widowControl/>
              <w:autoSpaceDE/>
              <w:autoSpaceDN/>
              <w:adjustRightInd/>
              <w:jc w:val="center"/>
              <w:rPr>
                <w:sz w:val="16"/>
                <w:szCs w:val="16"/>
                <w:lang w:eastAsia="zh-CN"/>
              </w:rPr>
            </w:pPr>
            <w:r>
              <w:rPr>
                <w:rFonts w:eastAsia="Malgun Gothic"/>
                <w:color w:val="000000"/>
                <w:sz w:val="16"/>
                <w:szCs w:val="16"/>
                <w:lang w:eastAsia="zh-CN"/>
              </w:rPr>
              <w:t>1.0115/0.624/0.606/0.560</w:t>
            </w:r>
          </w:p>
        </w:tc>
      </w:tr>
      <w:tr w14:paraId="7CBA9FA0">
        <w:trPr>
          <w:trHeight w:val="227" w:hRule="exact"/>
          <w:jc w:val="center"/>
        </w:trPr>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73819591">
            <w:pPr>
              <w:widowControl/>
              <w:autoSpaceDE/>
              <w:autoSpaceDN/>
              <w:adjustRightInd/>
              <w:jc w:val="center"/>
              <w:rPr>
                <w:sz w:val="16"/>
                <w:szCs w:val="16"/>
                <w:lang w:eastAsia="zh-CN"/>
              </w:rPr>
            </w:pPr>
            <w:r>
              <w:rPr>
                <w:rFonts w:eastAsia="Malgun Gothic"/>
                <w:color w:val="000000"/>
                <w:sz w:val="16"/>
                <w:szCs w:val="16"/>
                <w:lang w:eastAsia="zh-CN"/>
              </w:rPr>
              <w:t>BPF</w:t>
            </w:r>
          </w:p>
        </w:tc>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4D53CBD8">
            <w:pPr>
              <w:widowControl/>
              <w:autoSpaceDE/>
              <w:autoSpaceDN/>
              <w:adjustRightInd/>
              <w:jc w:val="center"/>
              <w:rPr>
                <w:sz w:val="16"/>
                <w:szCs w:val="16"/>
                <w:lang w:eastAsia="zh-CN"/>
              </w:rPr>
            </w:pPr>
            <w:r>
              <w:rPr>
                <w:rFonts w:eastAsia="Malgun Gothic"/>
                <w:color w:val="000000"/>
                <w:sz w:val="16"/>
                <w:szCs w:val="16"/>
                <w:lang w:eastAsia="zh-CN"/>
              </w:rPr>
              <w:t>75/50</w:t>
            </w:r>
          </w:p>
        </w:tc>
        <w:tc>
          <w:tcPr>
            <w:tcW w:w="1638"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22BFF42A">
            <w:pPr>
              <w:widowControl/>
              <w:autoSpaceDE/>
              <w:autoSpaceDN/>
              <w:adjustRightInd/>
              <w:jc w:val="center"/>
              <w:rPr>
                <w:sz w:val="16"/>
                <w:szCs w:val="16"/>
                <w:lang w:eastAsia="zh-CN"/>
              </w:rPr>
            </w:pPr>
            <w:r>
              <w:rPr>
                <w:rFonts w:eastAsia="Malgun Gothic"/>
                <w:color w:val="000000"/>
                <w:sz w:val="16"/>
                <w:szCs w:val="16"/>
                <w:lang w:eastAsia="zh-CN"/>
              </w:rPr>
              <w:t>3.6</w:t>
            </w:r>
          </w:p>
        </w:tc>
        <w:tc>
          <w:tcPr>
            <w:tcW w:w="202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3906A8CE">
            <w:pPr>
              <w:widowControl/>
              <w:autoSpaceDE/>
              <w:autoSpaceDN/>
              <w:adjustRightInd/>
              <w:jc w:val="center"/>
              <w:rPr>
                <w:sz w:val="16"/>
                <w:szCs w:val="16"/>
                <w:lang w:eastAsia="zh-CN"/>
              </w:rPr>
            </w:pPr>
            <w:r>
              <w:rPr>
                <w:rFonts w:eastAsia="Malgun Gothic"/>
                <w:color w:val="000000"/>
                <w:sz w:val="16"/>
                <w:szCs w:val="16"/>
                <w:lang w:eastAsia="zh-CN"/>
              </w:rPr>
              <w:t>/</w:t>
            </w:r>
          </w:p>
        </w:tc>
        <w:tc>
          <w:tcPr>
            <w:tcW w:w="2024"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4F86AD7E">
            <w:pPr>
              <w:widowControl/>
              <w:autoSpaceDE/>
              <w:autoSpaceDN/>
              <w:adjustRightInd/>
              <w:jc w:val="center"/>
              <w:rPr>
                <w:sz w:val="16"/>
                <w:szCs w:val="16"/>
                <w:lang w:eastAsia="zh-CN"/>
              </w:rPr>
            </w:pPr>
            <w:r>
              <w:rPr>
                <w:rFonts w:eastAsia="Malgun Gothic"/>
                <w:color w:val="000000"/>
                <w:sz w:val="16"/>
                <w:szCs w:val="16"/>
                <w:lang w:eastAsia="zh-CN"/>
              </w:rPr>
              <w:t>1.0115/1.0161</w:t>
            </w:r>
          </w:p>
        </w:tc>
      </w:tr>
      <w:tr w14:paraId="77E749A6">
        <w:trPr>
          <w:trHeight w:val="227" w:hRule="exact"/>
          <w:jc w:val="center"/>
        </w:trPr>
        <w:tc>
          <w:tcPr>
            <w:tcW w:w="983" w:type="dxa"/>
            <w:vMerge w:val="restart"/>
            <w:tcBorders>
              <w:top w:val="single" w:color="auto" w:sz="4" w:space="0"/>
              <w:bottom w:val="nil"/>
            </w:tcBorders>
            <w:shd w:val="clear" w:color="auto" w:fill="auto"/>
            <w:tcMar>
              <w:top w:w="15" w:type="dxa"/>
              <w:left w:w="108" w:type="dxa"/>
              <w:bottom w:w="0" w:type="dxa"/>
              <w:right w:w="108" w:type="dxa"/>
            </w:tcMar>
            <w:vAlign w:val="center"/>
          </w:tcPr>
          <w:p w14:paraId="1E8AA9B3">
            <w:pPr>
              <w:widowControl/>
              <w:autoSpaceDE/>
              <w:autoSpaceDN/>
              <w:adjustRightInd/>
              <w:jc w:val="center"/>
              <w:rPr>
                <w:sz w:val="16"/>
                <w:szCs w:val="16"/>
                <w:lang w:eastAsia="zh-CN"/>
              </w:rPr>
            </w:pPr>
            <w:r>
              <w:rPr>
                <w:rFonts w:eastAsia="Malgun Gothic"/>
                <w:color w:val="000000"/>
                <w:sz w:val="16"/>
                <w:szCs w:val="16"/>
                <w:lang w:eastAsia="zh-CN"/>
              </w:rPr>
              <w:t>BPF-PSA</w:t>
            </w:r>
          </w:p>
        </w:tc>
        <w:tc>
          <w:tcPr>
            <w:tcW w:w="983" w:type="dxa"/>
            <w:tcBorders>
              <w:top w:val="single" w:color="auto" w:sz="4" w:space="0"/>
              <w:bottom w:val="nil"/>
            </w:tcBorders>
            <w:shd w:val="clear" w:color="auto" w:fill="auto"/>
            <w:tcMar>
              <w:top w:w="15" w:type="dxa"/>
              <w:left w:w="108" w:type="dxa"/>
              <w:bottom w:w="0" w:type="dxa"/>
              <w:right w:w="108" w:type="dxa"/>
            </w:tcMar>
            <w:vAlign w:val="center"/>
          </w:tcPr>
          <w:p w14:paraId="489CF325">
            <w:pPr>
              <w:widowControl/>
              <w:autoSpaceDE/>
              <w:autoSpaceDN/>
              <w:adjustRightInd/>
              <w:jc w:val="center"/>
              <w:rPr>
                <w:sz w:val="16"/>
                <w:szCs w:val="16"/>
                <w:lang w:eastAsia="zh-CN"/>
              </w:rPr>
            </w:pPr>
            <w:r>
              <w:rPr>
                <w:rFonts w:eastAsia="Malgun Gothic"/>
                <w:color w:val="000000"/>
                <w:sz w:val="16"/>
                <w:szCs w:val="16"/>
                <w:lang w:eastAsia="zh-CN"/>
              </w:rPr>
              <w:t>13/25</w:t>
            </w:r>
          </w:p>
        </w:tc>
        <w:tc>
          <w:tcPr>
            <w:tcW w:w="1638" w:type="dxa"/>
            <w:tcBorders>
              <w:top w:val="single" w:color="auto" w:sz="4" w:space="0"/>
              <w:bottom w:val="nil"/>
            </w:tcBorders>
            <w:shd w:val="clear" w:color="auto" w:fill="auto"/>
            <w:tcMar>
              <w:top w:w="15" w:type="dxa"/>
              <w:left w:w="108" w:type="dxa"/>
              <w:bottom w:w="0" w:type="dxa"/>
              <w:right w:w="108" w:type="dxa"/>
            </w:tcMar>
            <w:vAlign w:val="center"/>
          </w:tcPr>
          <w:p w14:paraId="4828B858">
            <w:pPr>
              <w:widowControl/>
              <w:autoSpaceDE/>
              <w:autoSpaceDN/>
              <w:adjustRightInd/>
              <w:jc w:val="center"/>
              <w:rPr>
                <w:sz w:val="16"/>
                <w:szCs w:val="16"/>
                <w:lang w:eastAsia="zh-CN"/>
              </w:rPr>
            </w:pPr>
            <w:r>
              <w:rPr>
                <w:rFonts w:eastAsia="Malgun Gothic"/>
                <w:color w:val="000000"/>
                <w:sz w:val="16"/>
                <w:szCs w:val="16"/>
                <w:lang w:eastAsia="zh-CN"/>
              </w:rPr>
              <w:t>/</w:t>
            </w:r>
          </w:p>
        </w:tc>
        <w:tc>
          <w:tcPr>
            <w:tcW w:w="2023" w:type="dxa"/>
            <w:tcBorders>
              <w:top w:val="single" w:color="auto" w:sz="4" w:space="0"/>
              <w:bottom w:val="nil"/>
            </w:tcBorders>
            <w:shd w:val="clear" w:color="auto" w:fill="auto"/>
            <w:tcMar>
              <w:top w:w="15" w:type="dxa"/>
              <w:left w:w="108" w:type="dxa"/>
              <w:bottom w:w="0" w:type="dxa"/>
              <w:right w:w="108" w:type="dxa"/>
            </w:tcMar>
            <w:vAlign w:val="center"/>
          </w:tcPr>
          <w:p w14:paraId="5D34E301">
            <w:pPr>
              <w:widowControl/>
              <w:autoSpaceDE/>
              <w:autoSpaceDN/>
              <w:adjustRightInd/>
              <w:jc w:val="center"/>
              <w:rPr>
                <w:sz w:val="16"/>
                <w:szCs w:val="16"/>
                <w:lang w:eastAsia="zh-CN"/>
              </w:rPr>
            </w:pPr>
            <w:r>
              <w:rPr>
                <w:rFonts w:eastAsia="Malgun Gothic"/>
                <w:color w:val="000000"/>
                <w:sz w:val="16"/>
                <w:szCs w:val="16"/>
                <w:lang w:eastAsia="zh-CN"/>
              </w:rPr>
              <w:t>base</w:t>
            </w:r>
          </w:p>
        </w:tc>
        <w:tc>
          <w:tcPr>
            <w:tcW w:w="2024" w:type="dxa"/>
            <w:tcBorders>
              <w:top w:val="single" w:color="auto" w:sz="4" w:space="0"/>
              <w:bottom w:val="nil"/>
            </w:tcBorders>
            <w:shd w:val="clear" w:color="auto" w:fill="auto"/>
            <w:tcMar>
              <w:top w:w="15" w:type="dxa"/>
              <w:left w:w="108" w:type="dxa"/>
              <w:bottom w:w="0" w:type="dxa"/>
              <w:right w:w="108" w:type="dxa"/>
            </w:tcMar>
            <w:vAlign w:val="center"/>
          </w:tcPr>
          <w:p w14:paraId="50F591CD">
            <w:pPr>
              <w:widowControl/>
              <w:autoSpaceDE/>
              <w:autoSpaceDN/>
              <w:adjustRightInd/>
              <w:jc w:val="center"/>
              <w:rPr>
                <w:sz w:val="16"/>
                <w:szCs w:val="16"/>
                <w:lang w:eastAsia="zh-CN"/>
              </w:rPr>
            </w:pPr>
            <w:r>
              <w:rPr>
                <w:rFonts w:eastAsia="Malgun Gothic"/>
                <w:color w:val="000000"/>
                <w:sz w:val="16"/>
                <w:szCs w:val="16"/>
                <w:lang w:eastAsia="zh-CN"/>
              </w:rPr>
              <w:t>1.0115/0.9517</w:t>
            </w:r>
          </w:p>
        </w:tc>
      </w:tr>
      <w:tr w14:paraId="342B8678">
        <w:trPr>
          <w:trHeight w:val="227" w:hRule="exact"/>
          <w:jc w:val="center"/>
        </w:trPr>
        <w:tc>
          <w:tcPr>
            <w:tcW w:w="0" w:type="auto"/>
            <w:vMerge w:val="continue"/>
            <w:tcBorders>
              <w:top w:val="nil"/>
              <w:bottom w:val="single" w:color="auto" w:sz="4" w:space="0"/>
            </w:tcBorders>
            <w:vAlign w:val="center"/>
          </w:tcPr>
          <w:p w14:paraId="7F015FE2">
            <w:pPr>
              <w:widowControl/>
              <w:overflowPunct/>
              <w:autoSpaceDE/>
              <w:autoSpaceDN/>
              <w:adjustRightInd/>
              <w:spacing w:after="0"/>
              <w:jc w:val="center"/>
              <w:textAlignment w:val="auto"/>
              <w:rPr>
                <w:sz w:val="16"/>
                <w:szCs w:val="16"/>
                <w:lang w:eastAsia="zh-CN"/>
              </w:rPr>
            </w:pPr>
          </w:p>
        </w:tc>
        <w:tc>
          <w:tcPr>
            <w:tcW w:w="983" w:type="dxa"/>
            <w:tcBorders>
              <w:top w:val="nil"/>
              <w:bottom w:val="single" w:color="auto" w:sz="4" w:space="0"/>
            </w:tcBorders>
            <w:shd w:val="clear" w:color="auto" w:fill="auto"/>
            <w:tcMar>
              <w:top w:w="15" w:type="dxa"/>
              <w:left w:w="108" w:type="dxa"/>
              <w:bottom w:w="0" w:type="dxa"/>
              <w:right w:w="108" w:type="dxa"/>
            </w:tcMar>
            <w:vAlign w:val="center"/>
          </w:tcPr>
          <w:p w14:paraId="72C86798">
            <w:pPr>
              <w:widowControl/>
              <w:autoSpaceDE/>
              <w:autoSpaceDN/>
              <w:adjustRightInd/>
              <w:jc w:val="center"/>
              <w:rPr>
                <w:sz w:val="16"/>
                <w:szCs w:val="16"/>
                <w:lang w:eastAsia="zh-CN"/>
              </w:rPr>
            </w:pPr>
            <w:r>
              <w:rPr>
                <w:rFonts w:eastAsia="Malgun Gothic"/>
                <w:color w:val="000000"/>
                <w:sz w:val="16"/>
                <w:szCs w:val="16"/>
                <w:lang w:eastAsia="zh-CN"/>
              </w:rPr>
              <w:t>13</w:t>
            </w:r>
          </w:p>
        </w:tc>
        <w:tc>
          <w:tcPr>
            <w:tcW w:w="1638" w:type="dxa"/>
            <w:tcBorders>
              <w:top w:val="nil"/>
              <w:bottom w:val="single" w:color="auto" w:sz="4" w:space="0"/>
            </w:tcBorders>
            <w:shd w:val="clear" w:color="auto" w:fill="auto"/>
            <w:tcMar>
              <w:top w:w="15" w:type="dxa"/>
              <w:left w:w="108" w:type="dxa"/>
              <w:bottom w:w="0" w:type="dxa"/>
              <w:right w:w="108" w:type="dxa"/>
            </w:tcMar>
            <w:vAlign w:val="center"/>
          </w:tcPr>
          <w:p w14:paraId="0D3B3439">
            <w:pPr>
              <w:widowControl/>
              <w:autoSpaceDE/>
              <w:autoSpaceDN/>
              <w:adjustRightInd/>
              <w:jc w:val="center"/>
              <w:rPr>
                <w:sz w:val="16"/>
                <w:szCs w:val="16"/>
                <w:lang w:eastAsia="zh-CN"/>
              </w:rPr>
            </w:pPr>
            <w:r>
              <w:rPr>
                <w:rFonts w:eastAsia="Malgun Gothic"/>
                <w:color w:val="000000"/>
                <w:sz w:val="16"/>
                <w:szCs w:val="16"/>
                <w:lang w:eastAsia="zh-CN"/>
              </w:rPr>
              <w:t>/</w:t>
            </w:r>
          </w:p>
        </w:tc>
        <w:tc>
          <w:tcPr>
            <w:tcW w:w="2023" w:type="dxa"/>
            <w:tcBorders>
              <w:top w:val="nil"/>
              <w:bottom w:val="single" w:color="auto" w:sz="4" w:space="0"/>
            </w:tcBorders>
            <w:shd w:val="clear" w:color="auto" w:fill="auto"/>
            <w:tcMar>
              <w:top w:w="15" w:type="dxa"/>
              <w:left w:w="108" w:type="dxa"/>
              <w:bottom w:w="0" w:type="dxa"/>
              <w:right w:w="108" w:type="dxa"/>
            </w:tcMar>
            <w:vAlign w:val="center"/>
          </w:tcPr>
          <w:p w14:paraId="334F27E1">
            <w:pPr>
              <w:widowControl/>
              <w:autoSpaceDE/>
              <w:autoSpaceDN/>
              <w:adjustRightInd/>
              <w:jc w:val="center"/>
              <w:rPr>
                <w:sz w:val="16"/>
                <w:szCs w:val="16"/>
                <w:lang w:eastAsia="zh-CN"/>
              </w:rPr>
            </w:pPr>
            <w:r>
              <w:rPr>
                <w:rFonts w:eastAsia="Malgun Gothic"/>
                <w:color w:val="000000"/>
                <w:sz w:val="16"/>
                <w:szCs w:val="16"/>
                <w:lang w:eastAsia="zh-CN"/>
              </w:rPr>
              <w:t>base/case4/case</w:t>
            </w:r>
            <w:r>
              <w:rPr>
                <w:color w:val="000000"/>
                <w:sz w:val="16"/>
                <w:szCs w:val="16"/>
                <w:lang w:eastAsia="zh-CN"/>
              </w:rPr>
              <w:t>5</w:t>
            </w:r>
          </w:p>
        </w:tc>
        <w:tc>
          <w:tcPr>
            <w:tcW w:w="2024" w:type="dxa"/>
            <w:tcBorders>
              <w:top w:val="nil"/>
              <w:bottom w:val="single" w:color="auto" w:sz="4" w:space="0"/>
            </w:tcBorders>
            <w:shd w:val="clear" w:color="auto" w:fill="auto"/>
            <w:tcMar>
              <w:top w:w="15" w:type="dxa"/>
              <w:left w:w="108" w:type="dxa"/>
              <w:bottom w:w="0" w:type="dxa"/>
              <w:right w:w="108" w:type="dxa"/>
            </w:tcMar>
            <w:vAlign w:val="center"/>
          </w:tcPr>
          <w:p w14:paraId="7EB9ACEA">
            <w:pPr>
              <w:widowControl/>
              <w:autoSpaceDE/>
              <w:autoSpaceDN/>
              <w:adjustRightInd/>
              <w:jc w:val="center"/>
              <w:rPr>
                <w:sz w:val="16"/>
                <w:szCs w:val="16"/>
                <w:lang w:eastAsia="zh-CN"/>
              </w:rPr>
            </w:pPr>
            <w:r>
              <w:rPr>
                <w:rFonts w:eastAsia="Malgun Gothic"/>
                <w:color w:val="000000"/>
                <w:sz w:val="16"/>
                <w:szCs w:val="16"/>
                <w:lang w:eastAsia="zh-CN"/>
              </w:rPr>
              <w:t>1.0115/0.8387/0.779</w:t>
            </w:r>
          </w:p>
        </w:tc>
      </w:tr>
      <w:tr w14:paraId="0EF86787">
        <w:trPr>
          <w:trHeight w:val="227" w:hRule="exact"/>
          <w:jc w:val="center"/>
        </w:trPr>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04D26E02">
            <w:pPr>
              <w:widowControl/>
              <w:autoSpaceDE/>
              <w:autoSpaceDN/>
              <w:adjustRightInd/>
              <w:jc w:val="center"/>
              <w:rPr>
                <w:sz w:val="16"/>
                <w:szCs w:val="16"/>
                <w:lang w:eastAsia="zh-CN"/>
              </w:rPr>
            </w:pPr>
            <w:r>
              <w:rPr>
                <w:rFonts w:eastAsia="Malgun Gothic"/>
                <w:color w:val="000000"/>
                <w:sz w:val="16"/>
                <w:szCs w:val="16"/>
                <w:lang w:eastAsia="zh-CN"/>
              </w:rPr>
              <w:t>POL</w:t>
            </w:r>
          </w:p>
        </w:tc>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17D2EFFC">
            <w:pPr>
              <w:widowControl/>
              <w:autoSpaceDE/>
              <w:autoSpaceDN/>
              <w:adjustRightInd/>
              <w:jc w:val="center"/>
              <w:rPr>
                <w:sz w:val="16"/>
                <w:szCs w:val="16"/>
                <w:lang w:eastAsia="zh-CN"/>
              </w:rPr>
            </w:pPr>
            <w:r>
              <w:rPr>
                <w:rFonts w:eastAsia="Malgun Gothic"/>
                <w:color w:val="000000"/>
                <w:sz w:val="16"/>
                <w:szCs w:val="16"/>
                <w:lang w:eastAsia="zh-CN"/>
              </w:rPr>
              <w:t>85/47</w:t>
            </w:r>
          </w:p>
        </w:tc>
        <w:tc>
          <w:tcPr>
            <w:tcW w:w="1638"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124D654D">
            <w:pPr>
              <w:widowControl/>
              <w:autoSpaceDE/>
              <w:autoSpaceDN/>
              <w:adjustRightInd/>
              <w:jc w:val="center"/>
              <w:rPr>
                <w:sz w:val="16"/>
                <w:szCs w:val="16"/>
                <w:lang w:eastAsia="zh-CN"/>
              </w:rPr>
            </w:pPr>
            <w:r>
              <w:rPr>
                <w:rFonts w:eastAsia="Malgun Gothic"/>
                <w:color w:val="000000"/>
                <w:sz w:val="16"/>
                <w:szCs w:val="16"/>
                <w:lang w:eastAsia="zh-CN"/>
              </w:rPr>
              <w:t>/</w:t>
            </w:r>
          </w:p>
        </w:tc>
        <w:tc>
          <w:tcPr>
            <w:tcW w:w="202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3E33EAC7">
            <w:pPr>
              <w:widowControl/>
              <w:autoSpaceDE/>
              <w:autoSpaceDN/>
              <w:adjustRightInd/>
              <w:jc w:val="center"/>
              <w:rPr>
                <w:sz w:val="16"/>
                <w:szCs w:val="16"/>
                <w:lang w:eastAsia="zh-CN"/>
              </w:rPr>
            </w:pPr>
            <w:r>
              <w:rPr>
                <w:rFonts w:eastAsia="Malgun Gothic"/>
                <w:color w:val="000000"/>
                <w:sz w:val="16"/>
                <w:szCs w:val="16"/>
                <w:lang w:eastAsia="zh-CN"/>
              </w:rPr>
              <w:t>/</w:t>
            </w:r>
          </w:p>
        </w:tc>
        <w:tc>
          <w:tcPr>
            <w:tcW w:w="2024"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68C2A9C9">
            <w:pPr>
              <w:widowControl/>
              <w:autoSpaceDE/>
              <w:autoSpaceDN/>
              <w:adjustRightInd/>
              <w:jc w:val="center"/>
              <w:rPr>
                <w:sz w:val="16"/>
                <w:szCs w:val="16"/>
                <w:lang w:eastAsia="zh-CN"/>
              </w:rPr>
            </w:pPr>
            <w:r>
              <w:rPr>
                <w:color w:val="000000"/>
                <w:sz w:val="16"/>
                <w:szCs w:val="16"/>
                <w:lang w:eastAsia="zh-CN"/>
              </w:rPr>
              <w:t>1.0115/1.1463</w:t>
            </w:r>
          </w:p>
        </w:tc>
      </w:tr>
      <w:tr w14:paraId="0717D50C">
        <w:trPr>
          <w:trHeight w:val="227" w:hRule="exact"/>
          <w:jc w:val="center"/>
        </w:trPr>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6AA861E9">
            <w:pPr>
              <w:widowControl/>
              <w:autoSpaceDE/>
              <w:autoSpaceDN/>
              <w:adjustRightInd/>
              <w:jc w:val="center"/>
              <w:rPr>
                <w:sz w:val="16"/>
                <w:szCs w:val="16"/>
                <w:lang w:eastAsia="zh-CN"/>
              </w:rPr>
            </w:pPr>
            <w:r>
              <w:rPr>
                <w:rFonts w:eastAsia="Malgun Gothic"/>
                <w:color w:val="000000"/>
                <w:sz w:val="16"/>
                <w:szCs w:val="16"/>
                <w:lang w:eastAsia="zh-CN"/>
              </w:rPr>
              <w:t>POL-PSA</w:t>
            </w:r>
          </w:p>
        </w:tc>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58C10681">
            <w:pPr>
              <w:widowControl/>
              <w:autoSpaceDE/>
              <w:autoSpaceDN/>
              <w:adjustRightInd/>
              <w:jc w:val="center"/>
              <w:rPr>
                <w:sz w:val="16"/>
                <w:szCs w:val="16"/>
                <w:lang w:eastAsia="zh-CN"/>
              </w:rPr>
            </w:pPr>
            <w:r>
              <w:rPr>
                <w:rFonts w:eastAsia="Malgun Gothic"/>
                <w:color w:val="000000"/>
                <w:sz w:val="16"/>
                <w:szCs w:val="16"/>
                <w:lang w:eastAsia="zh-CN"/>
              </w:rPr>
              <w:t>20/15</w:t>
            </w:r>
          </w:p>
        </w:tc>
        <w:tc>
          <w:tcPr>
            <w:tcW w:w="1638"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00235B0F">
            <w:pPr>
              <w:widowControl/>
              <w:autoSpaceDE/>
              <w:autoSpaceDN/>
              <w:adjustRightInd/>
              <w:jc w:val="center"/>
              <w:rPr>
                <w:sz w:val="16"/>
                <w:szCs w:val="16"/>
                <w:lang w:eastAsia="zh-CN"/>
              </w:rPr>
            </w:pPr>
            <w:r>
              <w:rPr>
                <w:rFonts w:eastAsia="Malgun Gothic"/>
                <w:color w:val="000000"/>
                <w:sz w:val="16"/>
                <w:szCs w:val="16"/>
                <w:lang w:eastAsia="zh-CN"/>
              </w:rPr>
              <w:t>/</w:t>
            </w:r>
          </w:p>
        </w:tc>
        <w:tc>
          <w:tcPr>
            <w:tcW w:w="202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6768F9E8">
            <w:pPr>
              <w:widowControl/>
              <w:autoSpaceDE/>
              <w:autoSpaceDN/>
              <w:adjustRightInd/>
              <w:jc w:val="center"/>
              <w:rPr>
                <w:sz w:val="16"/>
                <w:szCs w:val="16"/>
                <w:lang w:eastAsia="zh-CN"/>
              </w:rPr>
            </w:pPr>
            <w:r>
              <w:rPr>
                <w:rFonts w:eastAsia="Malgun Gothic"/>
                <w:color w:val="000000"/>
                <w:sz w:val="16"/>
                <w:szCs w:val="16"/>
                <w:lang w:eastAsia="zh-CN"/>
              </w:rPr>
              <w:t>base</w:t>
            </w:r>
          </w:p>
        </w:tc>
        <w:tc>
          <w:tcPr>
            <w:tcW w:w="2024"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4148209C">
            <w:pPr>
              <w:widowControl/>
              <w:autoSpaceDE/>
              <w:autoSpaceDN/>
              <w:adjustRightInd/>
              <w:jc w:val="center"/>
              <w:rPr>
                <w:sz w:val="16"/>
                <w:szCs w:val="16"/>
                <w:lang w:eastAsia="zh-CN"/>
              </w:rPr>
            </w:pPr>
            <w:r>
              <w:rPr>
                <w:rFonts w:eastAsia="Malgun Gothic"/>
                <w:color w:val="000000"/>
                <w:sz w:val="16"/>
                <w:szCs w:val="16"/>
                <w:lang w:eastAsia="zh-CN"/>
              </w:rPr>
              <w:t>1.0115/1.0281</w:t>
            </w:r>
          </w:p>
        </w:tc>
      </w:tr>
      <w:tr w14:paraId="0FD603D7">
        <w:trPr>
          <w:trHeight w:val="227" w:hRule="exact"/>
          <w:jc w:val="center"/>
        </w:trPr>
        <w:tc>
          <w:tcPr>
            <w:tcW w:w="983" w:type="dxa"/>
            <w:vMerge w:val="restart"/>
            <w:tcBorders>
              <w:top w:val="single" w:color="auto" w:sz="4" w:space="0"/>
              <w:bottom w:val="nil"/>
            </w:tcBorders>
            <w:shd w:val="clear" w:color="auto" w:fill="auto"/>
            <w:tcMar>
              <w:top w:w="15" w:type="dxa"/>
              <w:left w:w="108" w:type="dxa"/>
              <w:bottom w:w="0" w:type="dxa"/>
              <w:right w:w="108" w:type="dxa"/>
            </w:tcMar>
            <w:vAlign w:val="center"/>
          </w:tcPr>
          <w:p w14:paraId="3854CEB4">
            <w:pPr>
              <w:widowControl/>
              <w:autoSpaceDE/>
              <w:autoSpaceDN/>
              <w:adjustRightInd/>
              <w:jc w:val="center"/>
              <w:rPr>
                <w:sz w:val="16"/>
                <w:szCs w:val="16"/>
                <w:lang w:eastAsia="zh-CN"/>
              </w:rPr>
            </w:pPr>
            <w:r>
              <w:rPr>
                <w:color w:val="000000"/>
                <w:sz w:val="16"/>
                <w:szCs w:val="16"/>
                <w:lang w:eastAsia="zh-CN"/>
              </w:rPr>
              <w:t>OCA</w:t>
            </w:r>
          </w:p>
        </w:tc>
        <w:tc>
          <w:tcPr>
            <w:tcW w:w="983" w:type="dxa"/>
            <w:tcBorders>
              <w:top w:val="single" w:color="auto" w:sz="4" w:space="0"/>
              <w:bottom w:val="nil"/>
            </w:tcBorders>
            <w:shd w:val="clear" w:color="auto" w:fill="auto"/>
            <w:tcMar>
              <w:top w:w="15" w:type="dxa"/>
              <w:left w:w="108" w:type="dxa"/>
              <w:bottom w:w="0" w:type="dxa"/>
              <w:right w:w="108" w:type="dxa"/>
            </w:tcMar>
            <w:vAlign w:val="center"/>
          </w:tcPr>
          <w:p w14:paraId="288AA2B6">
            <w:pPr>
              <w:widowControl/>
              <w:autoSpaceDE/>
              <w:autoSpaceDN/>
              <w:adjustRightInd/>
              <w:jc w:val="center"/>
              <w:rPr>
                <w:sz w:val="16"/>
                <w:szCs w:val="16"/>
                <w:lang w:eastAsia="zh-CN"/>
              </w:rPr>
            </w:pPr>
            <w:r>
              <w:rPr>
                <w:color w:val="000000"/>
                <w:sz w:val="16"/>
                <w:szCs w:val="16"/>
                <w:lang w:eastAsia="zh-CN"/>
              </w:rPr>
              <w:t>150/100/75</w:t>
            </w:r>
          </w:p>
        </w:tc>
        <w:tc>
          <w:tcPr>
            <w:tcW w:w="1638" w:type="dxa"/>
            <w:tcBorders>
              <w:top w:val="single" w:color="auto" w:sz="4" w:space="0"/>
              <w:bottom w:val="nil"/>
            </w:tcBorders>
            <w:shd w:val="clear" w:color="auto" w:fill="auto"/>
            <w:tcMar>
              <w:top w:w="15" w:type="dxa"/>
              <w:left w:w="108" w:type="dxa"/>
              <w:bottom w:w="0" w:type="dxa"/>
              <w:right w:w="108" w:type="dxa"/>
            </w:tcMar>
            <w:vAlign w:val="center"/>
          </w:tcPr>
          <w:p w14:paraId="6990F95B">
            <w:pPr>
              <w:widowControl/>
              <w:autoSpaceDE/>
              <w:autoSpaceDN/>
              <w:adjustRightInd/>
              <w:jc w:val="center"/>
              <w:rPr>
                <w:sz w:val="16"/>
                <w:szCs w:val="16"/>
                <w:lang w:eastAsia="zh-CN"/>
              </w:rPr>
            </w:pPr>
            <w:r>
              <w:rPr>
                <w:color w:val="000000"/>
                <w:sz w:val="16"/>
                <w:szCs w:val="16"/>
                <w:lang w:eastAsia="zh-CN"/>
              </w:rPr>
              <w:t>/</w:t>
            </w:r>
          </w:p>
        </w:tc>
        <w:tc>
          <w:tcPr>
            <w:tcW w:w="2023" w:type="dxa"/>
            <w:tcBorders>
              <w:top w:val="single" w:color="auto" w:sz="4" w:space="0"/>
              <w:bottom w:val="nil"/>
            </w:tcBorders>
            <w:shd w:val="clear" w:color="auto" w:fill="auto"/>
            <w:tcMar>
              <w:top w:w="15" w:type="dxa"/>
              <w:left w:w="108" w:type="dxa"/>
              <w:bottom w:w="0" w:type="dxa"/>
              <w:right w:w="108" w:type="dxa"/>
            </w:tcMar>
            <w:vAlign w:val="center"/>
          </w:tcPr>
          <w:p w14:paraId="79BAFEB5">
            <w:pPr>
              <w:widowControl/>
              <w:autoSpaceDE/>
              <w:autoSpaceDN/>
              <w:adjustRightInd/>
              <w:jc w:val="center"/>
              <w:rPr>
                <w:sz w:val="16"/>
                <w:szCs w:val="16"/>
                <w:lang w:eastAsia="zh-CN"/>
              </w:rPr>
            </w:pPr>
            <w:r>
              <w:rPr>
                <w:color w:val="000000"/>
                <w:sz w:val="16"/>
                <w:szCs w:val="16"/>
                <w:lang w:eastAsia="zh-CN"/>
              </w:rPr>
              <w:t>base</w:t>
            </w:r>
          </w:p>
        </w:tc>
        <w:tc>
          <w:tcPr>
            <w:tcW w:w="2024" w:type="dxa"/>
            <w:tcBorders>
              <w:top w:val="single" w:color="auto" w:sz="4" w:space="0"/>
              <w:bottom w:val="nil"/>
            </w:tcBorders>
            <w:shd w:val="clear" w:color="auto" w:fill="auto"/>
            <w:tcMar>
              <w:top w:w="15" w:type="dxa"/>
              <w:left w:w="108" w:type="dxa"/>
              <w:bottom w:w="0" w:type="dxa"/>
              <w:right w:w="108" w:type="dxa"/>
            </w:tcMar>
            <w:vAlign w:val="center"/>
          </w:tcPr>
          <w:p w14:paraId="15CA601D">
            <w:pPr>
              <w:widowControl/>
              <w:autoSpaceDE/>
              <w:autoSpaceDN/>
              <w:adjustRightInd/>
              <w:jc w:val="center"/>
              <w:rPr>
                <w:sz w:val="16"/>
                <w:szCs w:val="16"/>
                <w:lang w:eastAsia="zh-CN"/>
              </w:rPr>
            </w:pPr>
            <w:r>
              <w:rPr>
                <w:color w:val="000000"/>
                <w:sz w:val="16"/>
                <w:szCs w:val="16"/>
                <w:lang w:eastAsia="zh-CN"/>
              </w:rPr>
              <w:t>1.0115/1.2438/1.3600</w:t>
            </w:r>
          </w:p>
        </w:tc>
      </w:tr>
      <w:tr w14:paraId="6CCF35A7">
        <w:trPr>
          <w:trHeight w:val="227" w:hRule="exact"/>
          <w:jc w:val="center"/>
        </w:trPr>
        <w:tc>
          <w:tcPr>
            <w:tcW w:w="0" w:type="auto"/>
            <w:vMerge w:val="continue"/>
            <w:tcBorders>
              <w:top w:val="nil"/>
              <w:bottom w:val="single" w:color="auto" w:sz="4" w:space="0"/>
            </w:tcBorders>
            <w:vAlign w:val="center"/>
          </w:tcPr>
          <w:p w14:paraId="205E17A3">
            <w:pPr>
              <w:widowControl/>
              <w:overflowPunct/>
              <w:autoSpaceDE/>
              <w:autoSpaceDN/>
              <w:adjustRightInd/>
              <w:spacing w:after="0"/>
              <w:jc w:val="center"/>
              <w:textAlignment w:val="auto"/>
              <w:rPr>
                <w:sz w:val="16"/>
                <w:szCs w:val="16"/>
                <w:lang w:eastAsia="zh-CN"/>
              </w:rPr>
            </w:pPr>
          </w:p>
        </w:tc>
        <w:tc>
          <w:tcPr>
            <w:tcW w:w="983" w:type="dxa"/>
            <w:tcBorders>
              <w:top w:val="nil"/>
              <w:bottom w:val="single" w:color="auto" w:sz="4" w:space="0"/>
            </w:tcBorders>
            <w:shd w:val="clear" w:color="auto" w:fill="auto"/>
            <w:tcMar>
              <w:top w:w="15" w:type="dxa"/>
              <w:left w:w="108" w:type="dxa"/>
              <w:bottom w:w="0" w:type="dxa"/>
              <w:right w:w="108" w:type="dxa"/>
            </w:tcMar>
            <w:vAlign w:val="center"/>
          </w:tcPr>
          <w:p w14:paraId="54BD9B76">
            <w:pPr>
              <w:widowControl/>
              <w:autoSpaceDE/>
              <w:autoSpaceDN/>
              <w:adjustRightInd/>
              <w:jc w:val="center"/>
              <w:rPr>
                <w:sz w:val="16"/>
                <w:szCs w:val="16"/>
                <w:lang w:eastAsia="zh-CN"/>
              </w:rPr>
            </w:pPr>
            <w:r>
              <w:rPr>
                <w:color w:val="000000"/>
                <w:sz w:val="16"/>
                <w:szCs w:val="16"/>
                <w:lang w:eastAsia="zh-CN"/>
              </w:rPr>
              <w:t>150</w:t>
            </w:r>
          </w:p>
        </w:tc>
        <w:tc>
          <w:tcPr>
            <w:tcW w:w="1638" w:type="dxa"/>
            <w:tcBorders>
              <w:top w:val="nil"/>
              <w:bottom w:val="single" w:color="auto" w:sz="4" w:space="0"/>
            </w:tcBorders>
            <w:shd w:val="clear" w:color="auto" w:fill="auto"/>
            <w:tcMar>
              <w:top w:w="15" w:type="dxa"/>
              <w:left w:w="108" w:type="dxa"/>
              <w:bottom w:w="0" w:type="dxa"/>
              <w:right w:w="108" w:type="dxa"/>
            </w:tcMar>
            <w:vAlign w:val="center"/>
          </w:tcPr>
          <w:p w14:paraId="0901D024">
            <w:pPr>
              <w:widowControl/>
              <w:autoSpaceDE/>
              <w:autoSpaceDN/>
              <w:adjustRightInd/>
              <w:jc w:val="center"/>
              <w:rPr>
                <w:sz w:val="16"/>
                <w:szCs w:val="16"/>
                <w:lang w:eastAsia="zh-CN"/>
              </w:rPr>
            </w:pPr>
            <w:r>
              <w:rPr>
                <w:color w:val="000000"/>
                <w:sz w:val="16"/>
                <w:szCs w:val="16"/>
                <w:lang w:eastAsia="zh-CN"/>
              </w:rPr>
              <w:t>/</w:t>
            </w:r>
          </w:p>
        </w:tc>
        <w:tc>
          <w:tcPr>
            <w:tcW w:w="2023" w:type="dxa"/>
            <w:tcBorders>
              <w:top w:val="nil"/>
              <w:bottom w:val="single" w:color="auto" w:sz="4" w:space="0"/>
            </w:tcBorders>
            <w:shd w:val="clear" w:color="auto" w:fill="auto"/>
            <w:tcMar>
              <w:top w:w="15" w:type="dxa"/>
              <w:left w:w="108" w:type="dxa"/>
              <w:bottom w:w="0" w:type="dxa"/>
              <w:right w:w="108" w:type="dxa"/>
            </w:tcMar>
            <w:vAlign w:val="center"/>
          </w:tcPr>
          <w:p w14:paraId="259AB97D">
            <w:pPr>
              <w:widowControl/>
              <w:autoSpaceDE/>
              <w:autoSpaceDN/>
              <w:adjustRightInd/>
              <w:jc w:val="center"/>
              <w:rPr>
                <w:sz w:val="16"/>
                <w:szCs w:val="16"/>
                <w:lang w:eastAsia="zh-CN"/>
              </w:rPr>
            </w:pPr>
            <w:r>
              <w:rPr>
                <w:color w:val="000000"/>
                <w:sz w:val="16"/>
                <w:szCs w:val="16"/>
                <w:lang w:eastAsia="zh-CN"/>
              </w:rPr>
              <w:t>base/case6/case7/case8</w:t>
            </w:r>
          </w:p>
        </w:tc>
        <w:tc>
          <w:tcPr>
            <w:tcW w:w="2024" w:type="dxa"/>
            <w:tcBorders>
              <w:top w:val="nil"/>
              <w:bottom w:val="single" w:color="auto" w:sz="4" w:space="0"/>
            </w:tcBorders>
            <w:shd w:val="clear" w:color="auto" w:fill="auto"/>
            <w:tcMar>
              <w:top w:w="15" w:type="dxa"/>
              <w:left w:w="108" w:type="dxa"/>
              <w:bottom w:w="0" w:type="dxa"/>
              <w:right w:w="108" w:type="dxa"/>
            </w:tcMar>
            <w:vAlign w:val="center"/>
          </w:tcPr>
          <w:p w14:paraId="3BCAC408">
            <w:pPr>
              <w:widowControl/>
              <w:autoSpaceDE/>
              <w:autoSpaceDN/>
              <w:adjustRightInd/>
              <w:jc w:val="center"/>
              <w:rPr>
                <w:sz w:val="16"/>
                <w:szCs w:val="16"/>
                <w:lang w:eastAsia="zh-CN"/>
              </w:rPr>
            </w:pPr>
            <w:r>
              <w:rPr>
                <w:color w:val="000000"/>
                <w:sz w:val="16"/>
                <w:szCs w:val="16"/>
                <w:lang w:eastAsia="zh-CN"/>
              </w:rPr>
              <w:t>1.0115/1.120/1.116/1.114</w:t>
            </w:r>
          </w:p>
        </w:tc>
      </w:tr>
      <w:tr w14:paraId="6D2922C6">
        <w:trPr>
          <w:trHeight w:val="227" w:hRule="exact"/>
          <w:jc w:val="center"/>
        </w:trPr>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644A4432">
            <w:pPr>
              <w:widowControl/>
              <w:autoSpaceDE/>
              <w:autoSpaceDN/>
              <w:adjustRightInd/>
              <w:jc w:val="center"/>
              <w:rPr>
                <w:sz w:val="16"/>
                <w:szCs w:val="16"/>
                <w:lang w:eastAsia="zh-CN"/>
              </w:rPr>
            </w:pPr>
            <w:r>
              <w:rPr>
                <w:color w:val="000000"/>
                <w:sz w:val="16"/>
                <w:szCs w:val="16"/>
                <w:lang w:eastAsia="zh-CN"/>
              </w:rPr>
              <w:t>CG</w:t>
            </w:r>
          </w:p>
        </w:tc>
        <w:tc>
          <w:tcPr>
            <w:tcW w:w="98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10272E2C">
            <w:pPr>
              <w:widowControl/>
              <w:autoSpaceDE/>
              <w:autoSpaceDN/>
              <w:adjustRightInd/>
              <w:jc w:val="center"/>
              <w:rPr>
                <w:sz w:val="16"/>
                <w:szCs w:val="16"/>
                <w:lang w:eastAsia="zh-CN"/>
              </w:rPr>
            </w:pPr>
            <w:r>
              <w:rPr>
                <w:color w:val="000000"/>
                <w:sz w:val="16"/>
                <w:szCs w:val="16"/>
                <w:lang w:eastAsia="zh-CN"/>
              </w:rPr>
              <w:t>500/550/600</w:t>
            </w:r>
          </w:p>
        </w:tc>
        <w:tc>
          <w:tcPr>
            <w:tcW w:w="1638"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4A231910">
            <w:pPr>
              <w:widowControl/>
              <w:autoSpaceDE/>
              <w:autoSpaceDN/>
              <w:adjustRightInd/>
              <w:jc w:val="center"/>
              <w:rPr>
                <w:sz w:val="16"/>
                <w:szCs w:val="16"/>
                <w:lang w:eastAsia="zh-CN"/>
              </w:rPr>
            </w:pPr>
            <w:r>
              <w:rPr>
                <w:color w:val="000000"/>
                <w:sz w:val="16"/>
                <w:szCs w:val="16"/>
                <w:lang w:eastAsia="zh-CN"/>
              </w:rPr>
              <w:t>70</w:t>
            </w:r>
          </w:p>
        </w:tc>
        <w:tc>
          <w:tcPr>
            <w:tcW w:w="2023"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3F8554CD">
            <w:pPr>
              <w:widowControl/>
              <w:autoSpaceDE/>
              <w:autoSpaceDN/>
              <w:adjustRightInd/>
              <w:jc w:val="center"/>
              <w:rPr>
                <w:sz w:val="16"/>
                <w:szCs w:val="16"/>
                <w:lang w:eastAsia="zh-CN"/>
              </w:rPr>
            </w:pPr>
            <w:r>
              <w:rPr>
                <w:color w:val="000000"/>
                <w:sz w:val="16"/>
                <w:szCs w:val="16"/>
                <w:lang w:eastAsia="zh-CN"/>
              </w:rPr>
              <w:t>base/case9/case10</w:t>
            </w:r>
          </w:p>
        </w:tc>
        <w:tc>
          <w:tcPr>
            <w:tcW w:w="2024" w:type="dxa"/>
            <w:tcBorders>
              <w:top w:val="single" w:color="auto" w:sz="4" w:space="0"/>
              <w:bottom w:val="single" w:color="auto" w:sz="4" w:space="0"/>
            </w:tcBorders>
            <w:shd w:val="clear" w:color="auto" w:fill="auto"/>
            <w:tcMar>
              <w:top w:w="15" w:type="dxa"/>
              <w:left w:w="108" w:type="dxa"/>
              <w:bottom w:w="0" w:type="dxa"/>
              <w:right w:w="108" w:type="dxa"/>
            </w:tcMar>
            <w:vAlign w:val="center"/>
          </w:tcPr>
          <w:p w14:paraId="79131C14">
            <w:pPr>
              <w:widowControl/>
              <w:autoSpaceDE/>
              <w:autoSpaceDN/>
              <w:adjustRightInd/>
              <w:jc w:val="center"/>
              <w:rPr>
                <w:sz w:val="16"/>
                <w:szCs w:val="16"/>
                <w:lang w:eastAsia="zh-CN"/>
              </w:rPr>
            </w:pPr>
            <w:r>
              <w:rPr>
                <w:color w:val="000000"/>
                <w:sz w:val="16"/>
                <w:szCs w:val="16"/>
                <w:lang w:eastAsia="zh-CN"/>
              </w:rPr>
              <w:t>1.0132/1.0115/1.0099</w:t>
            </w:r>
          </w:p>
        </w:tc>
      </w:tr>
    </w:tbl>
    <w:p w14:paraId="18633F2F">
      <w:pPr>
        <w:rPr>
          <w:rFonts w:eastAsia="Malgun Gothic"/>
        </w:rPr>
        <w:sectPr>
          <w:type w:val="continuous"/>
          <w:pgSz w:w="12240" w:h="15840"/>
          <w:pgMar w:top="1224" w:right="1080" w:bottom="1440" w:left="1080" w:header="720" w:footer="576" w:gutter="0"/>
          <w:cols w:space="490" w:num="1"/>
          <w:titlePg/>
          <w:docGrid w:linePitch="360" w:charSpace="0"/>
        </w:sectPr>
      </w:pPr>
    </w:p>
    <w:p w14:paraId="1EF83835">
      <w:pPr>
        <w:jc w:val="center"/>
        <w:rPr>
          <w:rFonts w:eastAsia="Malgun Gothic"/>
        </w:rPr>
      </w:pPr>
      <w:r>
        <w:rPr>
          <w:rFonts w:ascii="等线" w:hAnsi="等线" w:eastAsia="等线"/>
          <w:kern w:val="2"/>
          <w:sz w:val="21"/>
          <w:szCs w:val="22"/>
          <w:lang w:eastAsia="zh-CN"/>
        </w:rPr>
        <w:drawing>
          <wp:inline distT="0" distB="0" distL="0" distR="0">
            <wp:extent cx="2535555" cy="1793240"/>
            <wp:effectExtent l="0" t="0" r="0" b="0"/>
            <wp:docPr id="12" name="图片 12" descr="C:\Users\wangyl01\AppData\Local\Microsoft\Windows\INetCache\Content.Word\Graph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wangyl01\AppData\Local\Microsoft\Windows\INetCache\Content.Word\Graph15.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41750" cy="1797580"/>
                    </a:xfrm>
                    <a:prstGeom prst="rect">
                      <a:avLst/>
                    </a:prstGeom>
                    <a:noFill/>
                    <a:ln>
                      <a:noFill/>
                    </a:ln>
                  </pic:spPr>
                </pic:pic>
              </a:graphicData>
            </a:graphic>
          </wp:inline>
        </w:drawing>
      </w:r>
    </w:p>
    <w:p w14:paraId="6DD8B611">
      <w:pPr>
        <w:jc w:val="center"/>
        <w:rPr>
          <w:rFonts w:ascii="Arial" w:hAnsi="Arial" w:eastAsia="Malgun Gothic" w:cs="Arial"/>
          <w:szCs w:val="18"/>
        </w:rPr>
      </w:pPr>
      <w:r>
        <w:rPr>
          <w:rFonts w:ascii="Arial" w:hAnsi="Arial" w:cs="Arial"/>
          <w:b/>
          <w:szCs w:val="18"/>
        </w:rPr>
        <w:t>Figure 6.</w:t>
      </w:r>
      <w:r>
        <w:t xml:space="preserve"> </w:t>
      </w:r>
      <w:r>
        <w:rPr>
          <w:rFonts w:ascii="Arial" w:hAnsi="Arial" w:cs="Arial"/>
          <w:szCs w:val="18"/>
        </w:rPr>
        <w:t>Simulation Comparison Chart of the Impact of Adhesive Materials on Impact Resistance Performance</w:t>
      </w:r>
    </w:p>
    <w:p w14:paraId="33910473">
      <w:pPr>
        <w:rPr>
          <w:rFonts w:eastAsia="Malgun Gothic"/>
        </w:rPr>
      </w:pPr>
      <w:r>
        <w:rPr>
          <w:rFonts w:eastAsia="Malgun Gothic"/>
        </w:rPr>
        <w:t>After optimizing the adhesive material based on simulation, the back impact resistance of the module is significantly improved. Subsequently, impact absorption energy tests were conducted on the adhesive monomers, and the comparison results are shown in Figure 7. The impact energy absorption rate of the optimized adhesive material has increased by ~24.2%.</w:t>
      </w:r>
    </w:p>
    <w:p w14:paraId="28DD2D42">
      <w:pPr>
        <w:jc w:val="center"/>
        <w:rPr>
          <w:rFonts w:eastAsia="Malgun Gothic"/>
        </w:rPr>
      </w:pPr>
      <w:r>
        <w:rPr>
          <w:rFonts w:ascii="微软雅黑" w:hAnsi="微软雅黑" w:eastAsia="微软雅黑"/>
          <w:kern w:val="2"/>
          <w:szCs w:val="18"/>
          <w:lang w:eastAsia="zh-CN"/>
        </w:rPr>
        <w:drawing>
          <wp:inline distT="0" distB="0" distL="0" distR="0">
            <wp:extent cx="1581150" cy="110109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614092" cy="1123820"/>
                    </a:xfrm>
                    <a:prstGeom prst="rect">
                      <a:avLst/>
                    </a:prstGeom>
                    <a:noFill/>
                  </pic:spPr>
                </pic:pic>
              </a:graphicData>
            </a:graphic>
          </wp:inline>
        </w:drawing>
      </w:r>
    </w:p>
    <w:p w14:paraId="5F411BDE">
      <w:pPr>
        <w:jc w:val="center"/>
        <w:rPr>
          <w:rFonts w:ascii="Arial" w:hAnsi="Arial" w:eastAsia="Malgun Gothic" w:cs="Arial"/>
          <w:szCs w:val="18"/>
        </w:rPr>
      </w:pPr>
      <w:r>
        <w:rPr>
          <w:rFonts w:ascii="Arial" w:hAnsi="Arial" w:cs="Arial"/>
          <w:b/>
          <w:szCs w:val="18"/>
        </w:rPr>
        <w:t>Figure 7.</w:t>
      </w:r>
      <w:r>
        <w:t xml:space="preserve"> </w:t>
      </w:r>
      <w:r>
        <w:rPr>
          <w:rFonts w:ascii="Arial" w:hAnsi="Arial" w:cs="Arial"/>
          <w:szCs w:val="18"/>
        </w:rPr>
        <w:t>Comparison Chart of Impact Absorption Rate</w:t>
      </w:r>
    </w:p>
    <w:p w14:paraId="0552A5B4">
      <w:pPr>
        <w:pStyle w:val="2"/>
        <w:rPr>
          <w:rFonts w:ascii="Arial" w:hAnsi="Arial" w:cs="Arial"/>
          <w:sz w:val="20"/>
        </w:rPr>
      </w:pPr>
      <w:r>
        <w:rPr>
          <w:rFonts w:hint="eastAsia" w:ascii="Arial" w:hAnsi="Arial" w:cs="Arial"/>
          <w:sz w:val="20"/>
          <w:lang w:eastAsia="zh-CN"/>
        </w:rPr>
        <w:t>R</w:t>
      </w:r>
      <w:r>
        <w:rPr>
          <w:rFonts w:ascii="Arial" w:hAnsi="Arial" w:cs="Arial"/>
          <w:sz w:val="20"/>
          <w:lang w:eastAsia="zh-CN"/>
        </w:rPr>
        <w:t>esult</w:t>
      </w:r>
    </w:p>
    <w:p w14:paraId="7BC53EA5">
      <w:r>
        <w:t xml:space="preserve">Based on the above theoretical analysis, the advantages of the optimized module stack are shown in Table 1. For the full-module AMOLED display module, the critical failure height of the back drop ball impact was 45mm before optimization, and it was increased to 70mm after optimization, with an improvement of 56%, significantly enhancing the back impact resistance of the full module. </w:t>
      </w:r>
    </w:p>
    <w:p w14:paraId="675F1960"/>
    <w:p w14:paraId="465D61E6"/>
    <w:p w14:paraId="106028F2">
      <w:pPr>
        <w:rPr>
          <w:rFonts w:hint="eastAsia" w:eastAsia="Malgun Gothic"/>
        </w:rPr>
      </w:pPr>
    </w:p>
    <w:p w14:paraId="1DC1F750">
      <w:pPr>
        <w:jc w:val="center"/>
        <w:rPr>
          <w:rFonts w:eastAsiaTheme="minorEastAsia"/>
          <w:lang w:eastAsia="zh-CN"/>
        </w:rPr>
      </w:pPr>
      <w:r>
        <w:rPr>
          <w:rFonts w:hint="eastAsia" w:eastAsiaTheme="minorEastAsia"/>
          <w:b/>
          <w:lang w:eastAsia="zh-CN"/>
        </w:rPr>
        <w:t>T</w:t>
      </w:r>
      <w:r>
        <w:rPr>
          <w:rFonts w:eastAsiaTheme="minorEastAsia"/>
          <w:b/>
          <w:lang w:eastAsia="zh-CN"/>
        </w:rPr>
        <w:t xml:space="preserve">able2. </w:t>
      </w:r>
      <w:r>
        <w:rPr>
          <w:rFonts w:eastAsiaTheme="minorEastAsia"/>
          <w:lang w:eastAsia="zh-CN"/>
        </w:rPr>
        <w:t>Impact Resistance Performance Before and After Material Collaborative Optimization</w:t>
      </w:r>
    </w:p>
    <w:tbl>
      <w:tblPr>
        <w:tblStyle w:val="34"/>
        <w:tblW w:w="4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209"/>
        <w:gridCol w:w="1117"/>
        <w:gridCol w:w="1615"/>
      </w:tblGrid>
      <w:tr w14:paraId="18821FC4">
        <w:trPr>
          <w:trHeight w:val="227" w:hRule="exact"/>
          <w:jc w:val="center"/>
        </w:trPr>
        <w:tc>
          <w:tcPr>
            <w:tcW w:w="1020" w:type="dxa"/>
            <w:vAlign w:val="center"/>
          </w:tcPr>
          <w:p w14:paraId="53BA4079">
            <w:pPr>
              <w:overflowPunct/>
              <w:topLinePunct/>
              <w:autoSpaceDE/>
              <w:autoSpaceDN/>
              <w:snapToGrid w:val="0"/>
              <w:spacing w:after="0"/>
              <w:jc w:val="center"/>
              <w:textAlignment w:val="auto"/>
              <w:rPr>
                <w:rFonts w:ascii="Arial" w:hAnsi="Arial" w:eastAsia="微软雅黑" w:cs="Arial"/>
                <w:b/>
                <w:kern w:val="2"/>
                <w:szCs w:val="18"/>
                <w:lang w:eastAsia="zh-CN"/>
              </w:rPr>
            </w:pPr>
            <w:r>
              <w:rPr>
                <w:rFonts w:hint="eastAsia" w:ascii="Arial" w:hAnsi="Arial" w:eastAsia="微软雅黑" w:cs="Arial"/>
                <w:b/>
                <w:kern w:val="2"/>
                <w:szCs w:val="18"/>
                <w:lang w:eastAsia="zh-CN"/>
              </w:rPr>
              <w:t>Item</w:t>
            </w:r>
          </w:p>
        </w:tc>
        <w:tc>
          <w:tcPr>
            <w:tcW w:w="1208" w:type="dxa"/>
            <w:vAlign w:val="center"/>
          </w:tcPr>
          <w:p w14:paraId="2B4850ED">
            <w:pPr>
              <w:overflowPunct/>
              <w:topLinePunct/>
              <w:autoSpaceDE/>
              <w:autoSpaceDN/>
              <w:snapToGrid w:val="0"/>
              <w:spacing w:after="0"/>
              <w:jc w:val="center"/>
              <w:textAlignment w:val="auto"/>
              <w:rPr>
                <w:rFonts w:ascii="Arial" w:hAnsi="Arial" w:eastAsia="微软雅黑" w:cs="Arial"/>
                <w:b/>
                <w:kern w:val="2"/>
                <w:szCs w:val="18"/>
                <w:lang w:eastAsia="zh-CN"/>
              </w:rPr>
            </w:pPr>
            <w:r>
              <w:rPr>
                <w:rFonts w:hint="eastAsia" w:ascii="Arial" w:hAnsi="Arial" w:eastAsia="微软雅黑" w:cs="Arial"/>
                <w:b/>
                <w:kern w:val="2"/>
                <w:szCs w:val="18"/>
                <w:lang w:eastAsia="zh-CN"/>
              </w:rPr>
              <w:t>Variable</w:t>
            </w:r>
          </w:p>
        </w:tc>
        <w:tc>
          <w:tcPr>
            <w:tcW w:w="1117" w:type="dxa"/>
            <w:vAlign w:val="center"/>
          </w:tcPr>
          <w:p w14:paraId="10556E51">
            <w:pPr>
              <w:overflowPunct/>
              <w:topLinePunct/>
              <w:autoSpaceDE/>
              <w:autoSpaceDN/>
              <w:snapToGrid w:val="0"/>
              <w:spacing w:after="0"/>
              <w:jc w:val="center"/>
              <w:textAlignment w:val="auto"/>
              <w:rPr>
                <w:rFonts w:ascii="Arial" w:hAnsi="Arial" w:eastAsia="微软雅黑" w:cs="Arial"/>
                <w:b/>
                <w:kern w:val="2"/>
                <w:szCs w:val="18"/>
                <w:lang w:eastAsia="zh-CN"/>
              </w:rPr>
            </w:pPr>
            <w:r>
              <w:rPr>
                <w:rFonts w:hint="eastAsia" w:ascii="Arial" w:hAnsi="Arial" w:eastAsia="微软雅黑" w:cs="Arial"/>
                <w:b/>
                <w:kern w:val="2"/>
                <w:szCs w:val="18"/>
                <w:lang w:eastAsia="zh-CN"/>
              </w:rPr>
              <w:t>Base</w:t>
            </w:r>
          </w:p>
        </w:tc>
        <w:tc>
          <w:tcPr>
            <w:tcW w:w="1615" w:type="dxa"/>
            <w:vAlign w:val="center"/>
          </w:tcPr>
          <w:p w14:paraId="3875C137">
            <w:pPr>
              <w:overflowPunct/>
              <w:topLinePunct/>
              <w:autoSpaceDE/>
              <w:autoSpaceDN/>
              <w:snapToGrid w:val="0"/>
              <w:spacing w:after="0"/>
              <w:jc w:val="center"/>
              <w:textAlignment w:val="auto"/>
              <w:rPr>
                <w:rFonts w:ascii="Arial" w:hAnsi="Arial" w:eastAsia="微软雅黑" w:cs="Arial"/>
                <w:b/>
                <w:kern w:val="2"/>
                <w:szCs w:val="18"/>
                <w:lang w:eastAsia="zh-CN"/>
              </w:rPr>
            </w:pPr>
            <w:r>
              <w:rPr>
                <w:rFonts w:ascii="Arial" w:hAnsi="Arial" w:eastAsia="微软雅黑" w:cs="Arial"/>
                <w:b/>
                <w:kern w:val="2"/>
                <w:szCs w:val="18"/>
                <w:lang w:eastAsia="zh-CN"/>
              </w:rPr>
              <w:t>Superior Solution</w:t>
            </w:r>
          </w:p>
        </w:tc>
      </w:tr>
      <w:tr w14:paraId="6D2DA2B5">
        <w:trPr>
          <w:trHeight w:val="227" w:hRule="exact"/>
          <w:jc w:val="center"/>
        </w:trPr>
        <w:tc>
          <w:tcPr>
            <w:tcW w:w="1020" w:type="dxa"/>
            <w:vMerge w:val="restart"/>
            <w:vAlign w:val="center"/>
          </w:tcPr>
          <w:p w14:paraId="5309724D">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Cu</w:t>
            </w:r>
          </w:p>
        </w:tc>
        <w:tc>
          <w:tcPr>
            <w:tcW w:w="1208" w:type="dxa"/>
            <w:vAlign w:val="center"/>
          </w:tcPr>
          <w:p w14:paraId="2C72D47B">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Thickness</w:t>
            </w:r>
          </w:p>
        </w:tc>
        <w:tc>
          <w:tcPr>
            <w:tcW w:w="1117" w:type="dxa"/>
            <w:vAlign w:val="center"/>
          </w:tcPr>
          <w:p w14:paraId="4C4E4AB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25um</w:t>
            </w:r>
          </w:p>
        </w:tc>
        <w:tc>
          <w:tcPr>
            <w:tcW w:w="1615" w:type="dxa"/>
            <w:vAlign w:val="center"/>
          </w:tcPr>
          <w:p w14:paraId="72958574">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25um</w:t>
            </w:r>
          </w:p>
        </w:tc>
      </w:tr>
      <w:tr w14:paraId="7F6EBFD0">
        <w:trPr>
          <w:trHeight w:val="227" w:hRule="exact"/>
          <w:jc w:val="center"/>
        </w:trPr>
        <w:tc>
          <w:tcPr>
            <w:tcW w:w="1020" w:type="dxa"/>
            <w:vMerge w:val="continue"/>
            <w:vAlign w:val="center"/>
          </w:tcPr>
          <w:p w14:paraId="0AC7E56E">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p>
        </w:tc>
        <w:tc>
          <w:tcPr>
            <w:tcW w:w="1208" w:type="dxa"/>
            <w:vAlign w:val="center"/>
          </w:tcPr>
          <w:p w14:paraId="31B96130">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Modulus</w:t>
            </w:r>
          </w:p>
        </w:tc>
        <w:tc>
          <w:tcPr>
            <w:tcW w:w="1117" w:type="dxa"/>
            <w:vAlign w:val="center"/>
          </w:tcPr>
          <w:p w14:paraId="2FD23911">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88GPa</w:t>
            </w:r>
          </w:p>
        </w:tc>
        <w:tc>
          <w:tcPr>
            <w:tcW w:w="1615" w:type="dxa"/>
            <w:vAlign w:val="center"/>
          </w:tcPr>
          <w:p w14:paraId="2EE417B8">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110Gpa</w:t>
            </w:r>
          </w:p>
        </w:tc>
      </w:tr>
      <w:tr w14:paraId="2ADC350B">
        <w:trPr>
          <w:trHeight w:val="227" w:hRule="exact"/>
          <w:jc w:val="center"/>
        </w:trPr>
        <w:tc>
          <w:tcPr>
            <w:tcW w:w="1020" w:type="dxa"/>
            <w:vMerge w:val="restart"/>
            <w:vAlign w:val="center"/>
          </w:tcPr>
          <w:p w14:paraId="56C183D3">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Gel</w:t>
            </w:r>
          </w:p>
        </w:tc>
        <w:tc>
          <w:tcPr>
            <w:tcW w:w="1208" w:type="dxa"/>
            <w:vAlign w:val="center"/>
          </w:tcPr>
          <w:p w14:paraId="58EB19D5">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Thickness</w:t>
            </w:r>
          </w:p>
        </w:tc>
        <w:tc>
          <w:tcPr>
            <w:tcW w:w="1117" w:type="dxa"/>
            <w:vAlign w:val="center"/>
          </w:tcPr>
          <w:p w14:paraId="4E4AD49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130</w:t>
            </w:r>
          </w:p>
        </w:tc>
        <w:tc>
          <w:tcPr>
            <w:tcW w:w="1615" w:type="dxa"/>
            <w:vAlign w:val="center"/>
          </w:tcPr>
          <w:p w14:paraId="27CAD1B8">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130um</w:t>
            </w:r>
          </w:p>
        </w:tc>
      </w:tr>
      <w:tr w14:paraId="75D3B2C4">
        <w:trPr>
          <w:trHeight w:val="227" w:hRule="exact"/>
          <w:jc w:val="center"/>
        </w:trPr>
        <w:tc>
          <w:tcPr>
            <w:tcW w:w="1020" w:type="dxa"/>
            <w:vMerge w:val="continue"/>
            <w:vAlign w:val="center"/>
          </w:tcPr>
          <w:p w14:paraId="5CEBBF7C">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p>
        </w:tc>
        <w:tc>
          <w:tcPr>
            <w:tcW w:w="1208" w:type="dxa"/>
            <w:vAlign w:val="center"/>
          </w:tcPr>
          <w:p w14:paraId="5B1DE5BE">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Material</w:t>
            </w:r>
          </w:p>
        </w:tc>
        <w:tc>
          <w:tcPr>
            <w:tcW w:w="1117" w:type="dxa"/>
            <w:vAlign w:val="center"/>
          </w:tcPr>
          <w:p w14:paraId="250380DE">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base</w:t>
            </w:r>
          </w:p>
        </w:tc>
        <w:tc>
          <w:tcPr>
            <w:tcW w:w="1615" w:type="dxa"/>
            <w:vAlign w:val="center"/>
          </w:tcPr>
          <w:p w14:paraId="12738C22">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case3</w:t>
            </w:r>
          </w:p>
        </w:tc>
      </w:tr>
      <w:tr w14:paraId="11F82C9D">
        <w:trPr>
          <w:trHeight w:val="227" w:hRule="exact"/>
          <w:jc w:val="center"/>
        </w:trPr>
        <w:tc>
          <w:tcPr>
            <w:tcW w:w="1020" w:type="dxa"/>
            <w:vAlign w:val="center"/>
          </w:tcPr>
          <w:p w14:paraId="557DEECE">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BPF</w:t>
            </w:r>
          </w:p>
        </w:tc>
        <w:tc>
          <w:tcPr>
            <w:tcW w:w="1208" w:type="dxa"/>
            <w:vAlign w:val="center"/>
          </w:tcPr>
          <w:p w14:paraId="5B3F3A5D">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Thickness</w:t>
            </w:r>
          </w:p>
        </w:tc>
        <w:tc>
          <w:tcPr>
            <w:tcW w:w="1117" w:type="dxa"/>
            <w:vAlign w:val="center"/>
          </w:tcPr>
          <w:p w14:paraId="23AEE05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75um</w:t>
            </w:r>
          </w:p>
        </w:tc>
        <w:tc>
          <w:tcPr>
            <w:tcW w:w="1615" w:type="dxa"/>
            <w:vAlign w:val="center"/>
          </w:tcPr>
          <w:p w14:paraId="06E172A7">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75um</w:t>
            </w:r>
          </w:p>
        </w:tc>
      </w:tr>
      <w:tr w14:paraId="02770A77">
        <w:trPr>
          <w:trHeight w:val="227" w:hRule="exact"/>
          <w:jc w:val="center"/>
        </w:trPr>
        <w:tc>
          <w:tcPr>
            <w:tcW w:w="1020" w:type="dxa"/>
            <w:vAlign w:val="center"/>
          </w:tcPr>
          <w:p w14:paraId="78D4427F">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BPF-PSA</w:t>
            </w:r>
          </w:p>
        </w:tc>
        <w:tc>
          <w:tcPr>
            <w:tcW w:w="1208" w:type="dxa"/>
            <w:vAlign w:val="center"/>
          </w:tcPr>
          <w:p w14:paraId="0207FC93">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Material</w:t>
            </w:r>
          </w:p>
        </w:tc>
        <w:tc>
          <w:tcPr>
            <w:tcW w:w="1117" w:type="dxa"/>
            <w:vAlign w:val="center"/>
          </w:tcPr>
          <w:p w14:paraId="07713F64">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base</w:t>
            </w:r>
          </w:p>
        </w:tc>
        <w:tc>
          <w:tcPr>
            <w:tcW w:w="1615" w:type="dxa"/>
            <w:vAlign w:val="center"/>
          </w:tcPr>
          <w:p w14:paraId="1E99845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case5</w:t>
            </w:r>
          </w:p>
        </w:tc>
      </w:tr>
      <w:tr w14:paraId="5B56DBC1">
        <w:trPr>
          <w:trHeight w:val="227" w:hRule="exact"/>
          <w:jc w:val="center"/>
        </w:trPr>
        <w:tc>
          <w:tcPr>
            <w:tcW w:w="1020" w:type="dxa"/>
            <w:vAlign w:val="center"/>
          </w:tcPr>
          <w:p w14:paraId="2BD92E0B">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POL</w:t>
            </w:r>
          </w:p>
        </w:tc>
        <w:tc>
          <w:tcPr>
            <w:tcW w:w="1208" w:type="dxa"/>
            <w:vAlign w:val="center"/>
          </w:tcPr>
          <w:p w14:paraId="45C81DAC">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Thickness</w:t>
            </w:r>
          </w:p>
        </w:tc>
        <w:tc>
          <w:tcPr>
            <w:tcW w:w="1117" w:type="dxa"/>
            <w:vAlign w:val="center"/>
          </w:tcPr>
          <w:p w14:paraId="29273520">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47um</w:t>
            </w:r>
          </w:p>
        </w:tc>
        <w:tc>
          <w:tcPr>
            <w:tcW w:w="1615" w:type="dxa"/>
            <w:vAlign w:val="center"/>
          </w:tcPr>
          <w:p w14:paraId="602DE27E">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47um</w:t>
            </w:r>
          </w:p>
        </w:tc>
      </w:tr>
      <w:tr w14:paraId="701C317E">
        <w:trPr>
          <w:trHeight w:val="227" w:hRule="exact"/>
          <w:jc w:val="center"/>
        </w:trPr>
        <w:tc>
          <w:tcPr>
            <w:tcW w:w="1020" w:type="dxa"/>
            <w:vAlign w:val="center"/>
          </w:tcPr>
          <w:p w14:paraId="2E396F1B">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POL-PSA</w:t>
            </w:r>
          </w:p>
        </w:tc>
        <w:tc>
          <w:tcPr>
            <w:tcW w:w="1208" w:type="dxa"/>
            <w:vAlign w:val="center"/>
          </w:tcPr>
          <w:p w14:paraId="6C68192D">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Material</w:t>
            </w:r>
          </w:p>
        </w:tc>
        <w:tc>
          <w:tcPr>
            <w:tcW w:w="1117" w:type="dxa"/>
            <w:vAlign w:val="center"/>
          </w:tcPr>
          <w:p w14:paraId="709AC04A">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base</w:t>
            </w:r>
          </w:p>
        </w:tc>
        <w:tc>
          <w:tcPr>
            <w:tcW w:w="1615" w:type="dxa"/>
            <w:vAlign w:val="center"/>
          </w:tcPr>
          <w:p w14:paraId="7BCFDB47">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base</w:t>
            </w:r>
          </w:p>
        </w:tc>
      </w:tr>
      <w:tr w14:paraId="272C5C86">
        <w:trPr>
          <w:trHeight w:val="227" w:hRule="exact"/>
          <w:jc w:val="center"/>
        </w:trPr>
        <w:tc>
          <w:tcPr>
            <w:tcW w:w="1020" w:type="dxa"/>
            <w:vMerge w:val="restart"/>
            <w:vAlign w:val="center"/>
          </w:tcPr>
          <w:p w14:paraId="04A3B4F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OCA</w:t>
            </w:r>
          </w:p>
        </w:tc>
        <w:tc>
          <w:tcPr>
            <w:tcW w:w="1208" w:type="dxa"/>
            <w:vAlign w:val="center"/>
          </w:tcPr>
          <w:p w14:paraId="1762743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Thickness</w:t>
            </w:r>
          </w:p>
        </w:tc>
        <w:tc>
          <w:tcPr>
            <w:tcW w:w="1117" w:type="dxa"/>
            <w:vAlign w:val="center"/>
          </w:tcPr>
          <w:p w14:paraId="3711784A">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150um</w:t>
            </w:r>
          </w:p>
        </w:tc>
        <w:tc>
          <w:tcPr>
            <w:tcW w:w="1615" w:type="dxa"/>
            <w:vAlign w:val="center"/>
          </w:tcPr>
          <w:p w14:paraId="3440709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150um</w:t>
            </w:r>
          </w:p>
        </w:tc>
      </w:tr>
      <w:tr w14:paraId="35C9B43B">
        <w:trPr>
          <w:trHeight w:val="227" w:hRule="exact"/>
          <w:jc w:val="center"/>
        </w:trPr>
        <w:tc>
          <w:tcPr>
            <w:tcW w:w="1020" w:type="dxa"/>
            <w:vMerge w:val="continue"/>
            <w:vAlign w:val="center"/>
          </w:tcPr>
          <w:p w14:paraId="6BE64A55">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p>
        </w:tc>
        <w:tc>
          <w:tcPr>
            <w:tcW w:w="1208" w:type="dxa"/>
            <w:vAlign w:val="center"/>
          </w:tcPr>
          <w:p w14:paraId="7CBE8DEB">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Material</w:t>
            </w:r>
          </w:p>
        </w:tc>
        <w:tc>
          <w:tcPr>
            <w:tcW w:w="1117" w:type="dxa"/>
            <w:vAlign w:val="center"/>
          </w:tcPr>
          <w:p w14:paraId="35577811">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base</w:t>
            </w:r>
          </w:p>
        </w:tc>
        <w:tc>
          <w:tcPr>
            <w:tcW w:w="1615" w:type="dxa"/>
            <w:vAlign w:val="center"/>
          </w:tcPr>
          <w:p w14:paraId="77A5FC37">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base</w:t>
            </w:r>
          </w:p>
        </w:tc>
      </w:tr>
      <w:tr w14:paraId="64CFC1AA">
        <w:trPr>
          <w:trHeight w:val="227" w:hRule="exact"/>
          <w:jc w:val="center"/>
        </w:trPr>
        <w:tc>
          <w:tcPr>
            <w:tcW w:w="1020" w:type="dxa"/>
            <w:vAlign w:val="center"/>
          </w:tcPr>
          <w:p w14:paraId="161404CB">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CG</w:t>
            </w:r>
          </w:p>
        </w:tc>
        <w:tc>
          <w:tcPr>
            <w:tcW w:w="1208" w:type="dxa"/>
            <w:vAlign w:val="center"/>
          </w:tcPr>
          <w:p w14:paraId="19088C8E">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Thickness</w:t>
            </w:r>
          </w:p>
        </w:tc>
        <w:tc>
          <w:tcPr>
            <w:tcW w:w="1117" w:type="dxa"/>
            <w:vAlign w:val="center"/>
          </w:tcPr>
          <w:p w14:paraId="7804EEE3">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550um</w:t>
            </w:r>
          </w:p>
        </w:tc>
        <w:tc>
          <w:tcPr>
            <w:tcW w:w="1615" w:type="dxa"/>
            <w:vAlign w:val="center"/>
          </w:tcPr>
          <w:p w14:paraId="704D695B">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550um</w:t>
            </w:r>
          </w:p>
        </w:tc>
      </w:tr>
      <w:tr w14:paraId="356C0A21">
        <w:trPr>
          <w:trHeight w:val="227" w:hRule="exact"/>
          <w:jc w:val="center"/>
        </w:trPr>
        <w:tc>
          <w:tcPr>
            <w:tcW w:w="2229" w:type="dxa"/>
            <w:gridSpan w:val="2"/>
            <w:vAlign w:val="center"/>
          </w:tcPr>
          <w:p w14:paraId="11458F78">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Ball Drop Failure Height（（mm）</w:t>
            </w:r>
          </w:p>
        </w:tc>
        <w:tc>
          <w:tcPr>
            <w:tcW w:w="1117" w:type="dxa"/>
            <w:vAlign w:val="center"/>
          </w:tcPr>
          <w:p w14:paraId="349DB9F9">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45mm</w:t>
            </w:r>
          </w:p>
        </w:tc>
        <w:tc>
          <w:tcPr>
            <w:tcW w:w="1615" w:type="dxa"/>
            <w:vAlign w:val="center"/>
          </w:tcPr>
          <w:p w14:paraId="21F454F5">
            <w:pPr>
              <w:overflowPunct/>
              <w:topLinePunct/>
              <w:autoSpaceDE/>
              <w:autoSpaceDN/>
              <w:snapToGrid w:val="0"/>
              <w:spacing w:after="0"/>
              <w:jc w:val="center"/>
              <w:textAlignment w:val="auto"/>
              <w:rPr>
                <w:rFonts w:ascii="Times New Roman" w:hAnsi="Times New Roman" w:eastAsia="微软雅黑"/>
                <w:kern w:val="2"/>
                <w:sz w:val="16"/>
                <w:szCs w:val="18"/>
                <w:lang w:eastAsia="zh-CN"/>
              </w:rPr>
            </w:pPr>
            <w:r>
              <w:rPr>
                <w:rFonts w:ascii="Times New Roman" w:hAnsi="Times New Roman" w:eastAsia="微软雅黑"/>
                <w:kern w:val="2"/>
                <w:sz w:val="16"/>
                <w:szCs w:val="18"/>
                <w:lang w:eastAsia="zh-CN"/>
              </w:rPr>
              <w:t>70mm</w:t>
            </w:r>
          </w:p>
        </w:tc>
      </w:tr>
    </w:tbl>
    <w:p w14:paraId="21C17375">
      <w:pPr>
        <w:rPr>
          <w:rFonts w:eastAsia="Malgun Gothic"/>
        </w:rPr>
      </w:pPr>
    </w:p>
    <w:p w14:paraId="6D052A3A">
      <w:pPr>
        <w:pStyle w:val="2"/>
        <w:rPr>
          <w:rFonts w:ascii="Arial" w:hAnsi="Arial" w:cs="Arial"/>
          <w:sz w:val="20"/>
        </w:rPr>
      </w:pPr>
      <w:r>
        <w:rPr>
          <w:rFonts w:ascii="Arial" w:hAnsi="Arial" w:cs="Arial"/>
          <w:sz w:val="20"/>
        </w:rPr>
        <w:t>Conclusion</w:t>
      </w:r>
    </w:p>
    <w:p w14:paraId="37743EC0">
      <w:pPr>
        <w:rPr>
          <w:rFonts w:eastAsia="Malgun Gothic"/>
        </w:rPr>
      </w:pPr>
      <w:r>
        <w:t>This paper investigates the failure mechanism of fragmented bright spots in AMOLED display modules under the back drop ball impact condition: the tensile strain on the backplane inorganic layer exceeds the material's own failure threshold, leading to local over-brightness caused by short circuits after fracture, which is macroscopically manifested as fragmented bright spots. After collaborative optimization of materials from the perspective of the entire module, the critical failure height of the back drop ball impact is increased from 45mm to 70mm, significantly improving the back impact resistance of AMOLED displays.</w:t>
      </w:r>
    </w:p>
    <w:p w14:paraId="00AC6116">
      <w:pPr>
        <w:pStyle w:val="2"/>
        <w:rPr>
          <w:rStyle w:val="19"/>
          <w:rFonts w:ascii="Arial" w:hAnsi="Arial" w:cs="Arial"/>
          <w:color w:val="auto"/>
          <w:sz w:val="20"/>
          <w:u w:val="none"/>
        </w:rPr>
      </w:pPr>
      <w:r>
        <w:rPr>
          <w:rFonts w:ascii="Arial" w:hAnsi="Arial" w:cs="Arial"/>
          <w:sz w:val="20"/>
        </w:rPr>
        <w:t>References</w:t>
      </w:r>
      <w:r>
        <w:rPr>
          <w:rStyle w:val="19"/>
          <w:color w:val="333333"/>
          <w:szCs w:val="18"/>
          <w:u w:val="none"/>
          <w:shd w:val="clear" w:color="auto" w:fill="FFFFFF"/>
        </w:rPr>
        <w:t xml:space="preserve"> </w:t>
      </w:r>
    </w:p>
    <w:p w14:paraId="21211CE6">
      <w:pPr>
        <w:numPr>
          <w:ilvl w:val="0"/>
          <w:numId w:val="4"/>
        </w:numPr>
        <w:rPr>
          <w:rStyle w:val="19"/>
          <w:color w:val="333333"/>
          <w:szCs w:val="18"/>
          <w:u w:val="none"/>
          <w:shd w:val="clear" w:color="auto" w:fill="FFFFFF"/>
        </w:rPr>
      </w:pPr>
      <w:r>
        <w:rPr>
          <w:bCs/>
          <w:color w:val="333333"/>
          <w:szCs w:val="18"/>
          <w:shd w:val="clear" w:color="auto" w:fill="FFFFFF"/>
        </w:rPr>
        <w:t>Kim D, Lee S, Kim Y, et al. Dynamic mechanical characterization of flexible display modules under bending and impact for reliability assessment [J]. Journal of the Society for Information Display, 2021, 29(5): 364-375</w:t>
      </w:r>
    </w:p>
    <w:p w14:paraId="20E86268">
      <w:pPr>
        <w:numPr>
          <w:ilvl w:val="0"/>
          <w:numId w:val="4"/>
        </w:numPr>
        <w:jc w:val="left"/>
        <w:rPr>
          <w:color w:val="333333"/>
          <w:szCs w:val="18"/>
          <w:shd w:val="clear" w:color="auto" w:fill="FFFFFF"/>
        </w:rPr>
      </w:pPr>
      <w:r>
        <w:rPr>
          <w:bCs/>
          <w:color w:val="333333"/>
          <w:szCs w:val="18"/>
          <w:shd w:val="clear" w:color="auto" w:fill="FFFFFF"/>
        </w:rPr>
        <w:t>Ciavarella M, Hills D A, Monno G. The influence of rounded edges on indentation by flat punches [J].</w:t>
      </w:r>
      <w:r>
        <w:rPr>
          <w:color w:val="333333"/>
          <w:szCs w:val="18"/>
          <w:shd w:val="clear" w:color="auto" w:fill="FFFFFF"/>
        </w:rPr>
        <w:t> Proceedings of the Institution of Mechanical Engineers, Part C: Journal of Mechanical Engineering Science, 1998, 212(4): 319-328</w:t>
      </w:r>
    </w:p>
    <w:p w14:paraId="4696C057">
      <w:pPr>
        <w:ind w:left="360"/>
        <w:jc w:val="left"/>
        <w:rPr>
          <w:rFonts w:eastAsia="Malgun Gothic"/>
          <w:color w:val="333333"/>
          <w:szCs w:val="18"/>
          <w:shd w:val="clear" w:color="auto" w:fill="FFFFFF"/>
        </w:rPr>
      </w:pPr>
    </w:p>
    <w:p w14:paraId="12DABE70">
      <w:pPr>
        <w:ind w:left="360"/>
        <w:jc w:val="left"/>
        <w:rPr>
          <w:rFonts w:eastAsia="Malgun Gothic"/>
          <w:color w:val="333333"/>
          <w:szCs w:val="18"/>
          <w:shd w:val="clear" w:color="auto" w:fill="FFFFFF"/>
        </w:rPr>
      </w:pPr>
    </w:p>
    <w:p w14:paraId="6CC895A4">
      <w:pPr>
        <w:ind w:left="360"/>
        <w:jc w:val="left"/>
        <w:rPr>
          <w:rFonts w:eastAsia="Malgun Gothic"/>
          <w:color w:val="333333"/>
          <w:szCs w:val="18"/>
          <w:shd w:val="clear" w:color="auto" w:fill="FFFFFF"/>
        </w:rPr>
      </w:pPr>
    </w:p>
    <w:p w14:paraId="6621B54E">
      <w:pPr>
        <w:ind w:left="360"/>
        <w:jc w:val="left"/>
        <w:rPr>
          <w:rFonts w:eastAsia="Malgun Gothic"/>
          <w:color w:val="333333"/>
          <w:szCs w:val="18"/>
          <w:shd w:val="clear" w:color="auto" w:fill="FFFFFF"/>
        </w:rPr>
      </w:pPr>
    </w:p>
    <w:p w14:paraId="35EDCAE2">
      <w:pPr>
        <w:jc w:val="left"/>
        <w:rPr>
          <w:rFonts w:hint="eastAsia" w:eastAsia="Malgun Gothic"/>
          <w:color w:val="333333"/>
          <w:szCs w:val="18"/>
          <w:shd w:val="clear" w:color="auto" w:fill="FFFFFF"/>
        </w:rPr>
      </w:pPr>
      <w:bookmarkStart w:id="0" w:name="_GoBack"/>
      <w:bookmarkEnd w:id="0"/>
    </w:p>
    <w:sectPr>
      <w:type w:val="continuous"/>
      <w:pgSz w:w="12240" w:h="15840"/>
      <w:pgMar w:top="1224" w:right="1080" w:bottom="1440" w:left="1080" w:header="720" w:footer="576" w:gutter="0"/>
      <w:cols w:space="490" w:num="2"/>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Arial">
    <w:panose1 w:val="020B0604020202090204"/>
    <w:charset w:val="00"/>
    <w:family w:val="swiss"/>
    <w:pitch w:val="default"/>
    <w:sig w:usb0="E0000AFF" w:usb1="00007843" w:usb2="00000001" w:usb3="00000000" w:csb0="400001BF" w:csb1="DFF70000"/>
  </w:font>
  <w:font w:name="Helvetica">
    <w:panose1 w:val="00000000000000000000"/>
    <w:charset w:val="00"/>
    <w:family w:val="swiss"/>
    <w:pitch w:val="default"/>
    <w:sig w:usb0="E00002FF" w:usb1="5000785B" w:usb2="00000000" w:usb3="00000000" w:csb0="2000019F" w:csb1="4F010000"/>
  </w:font>
  <w:font w:name="MS Mincho">
    <w:altName w:val="Hiragino Sans"/>
    <w:panose1 w:val="02020609040205080304"/>
    <w:charset w:val="80"/>
    <w:family w:val="roman"/>
    <w:pitch w:val="default"/>
    <w:sig w:usb0="00000000" w:usb1="00000000" w:usb2="00000010" w:usb3="00000000" w:csb0="00020000" w:csb1="00000000"/>
  </w:font>
  <w:font w:name="ＭＳ 明朝">
    <w:altName w:val="Hiragino San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Courier New">
    <w:panose1 w:val="02070409020205090404"/>
    <w:charset w:val="00"/>
    <w:family w:val="modern"/>
    <w:pitch w:val="default"/>
    <w:sig w:usb0="E0000AFF" w:usb1="4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微软雅黑">
    <w:altName w:val="汉仪旗黑"/>
    <w:panose1 w:val="020B0503020204020204"/>
    <w:charset w:val="86"/>
    <w:family w:val="swiss"/>
    <w:pitch w:val="default"/>
    <w:sig w:usb0="00000000" w:usb1="00000000" w:usb2="00000016" w:usb3="00000000" w:csb0="0004001F" w:csb1="00000000"/>
  </w:font>
  <w:font w:name="Segoe UI">
    <w:altName w:val="苹方-简"/>
    <w:panose1 w:val="020B0502040204020203"/>
    <w:charset w:val="00"/>
    <w:family w:val="swiss"/>
    <w:pitch w:val="default"/>
    <w:sig w:usb0="00000000" w:usb1="00000000" w:usb2="00000009" w:usb3="00000000" w:csb0="000001FF" w:csb1="00000000"/>
  </w:font>
  <w:font w:name="Cambria Math">
    <w:altName w:val="Kingsoft Math"/>
    <w:panose1 w:val="02040503050406030204"/>
    <w:charset w:val="00"/>
    <w:family w:val="roman"/>
    <w:pitch w:val="default"/>
    <w:sig w:usb0="00000000" w:usb1="00000000" w:usb2="02000000"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D Gothic Neo">
    <w:panose1 w:val="02000300000000000000"/>
    <w:charset w:val="81"/>
    <w:family w:val="auto"/>
    <w:pitch w:val="default"/>
    <w:sig w:usb0="00000203" w:usb1="21D12C10" w:usb2="00000010" w:usb3="00000000" w:csb0="00280005"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0260">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F550F">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BD50">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AD0A0">
    <w:pPr>
      <w:pStyle w:val="11"/>
    </w:pPr>
    <w:r>
      <w:rPr>
        <w:lang w:eastAsia="zh-CN"/>
      </w:rPr>
      <w:pict>
        <v:shape id="PowerPlusWaterMarkObject" o:spid="_x0000_s2049" o:spt="136" type="#_x0000_t136" style="position:absolute;left:0pt;height:68.85pt;width:712.75pt;mso-position-horizontal:center;mso-position-horizontal-relative:margin;mso-position-vertical:center;mso-position-vertical-relative:margin;rotation:-2949120f;z-index:251659264;mso-width-relative:page;mso-height-relative:page;" fillcolor="#808080" filled="t" stroked="f" coordsize="21600,21600">
          <v:path/>
          <v:fill on="t" opacity="15729f" focussize="0,0"/>
          <v:stroke on="f"/>
          <v:imagedata o:title=""/>
          <o:lock v:ext="edit" aspectratio="t"/>
          <v:textpath on="t" fitshape="t" fitpath="t" trim="t" xscale="f" string="　Visionox   wangyl01 企业机密" style="font-family:微软雅黑;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B0340">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26F17">
    <w:pPr>
      <w:pStyle w:val="11"/>
      <w:rPr>
        <w:color w:val="FF0000"/>
      </w:rPr>
    </w:pPr>
    <w:r>
      <w:rPr>
        <w:color w:val="FF0000"/>
        <w:lang w:eastAsia="zh-CN"/>
      </w:rPr>
      <w:pict>
        <v:shape id="PowerPlusWaterMarkObject_1_2" o:spid="_x0000_s2050" o:spt="136" type="#_x0000_t136" style="position:absolute;left:0pt;height:68.85pt;width:712.75pt;mso-position-horizontal:center;mso-position-horizontal-relative:margin;mso-position-vertical:center;mso-position-vertical-relative:margin;rotation:-2949120f;z-index:251660288;mso-width-relative:page;mso-height-relative:page;" fillcolor="#808080" filled="t" stroked="f" coordsize="21600,21600">
          <v:path/>
          <v:fill on="t" opacity="15729f" focussize="0,0"/>
          <v:stroke on="f"/>
          <v:imagedata o:title=""/>
          <o:lock v:ext="edit" aspectratio="t"/>
          <v:textpath on="t" fitshape="t" fitpath="t" trim="t" xscale="f" string="　Visionox   wangyl01 企业机密" style="font-family:微软雅黑;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F4256"/>
    <w:multiLevelType w:val="multilevel"/>
    <w:tmpl w:val="011F4256"/>
    <w:lvl w:ilvl="0" w:tentative="0">
      <w:start w:val="1"/>
      <w:numFmt w:val="decimal"/>
      <w:pStyle w:val="2"/>
      <w:lvlText w:val="%1."/>
      <w:lvlJc w:val="left"/>
      <w:pPr>
        <w:tabs>
          <w:tab w:val="left" w:pos="360"/>
        </w:tabs>
        <w:ind w:left="360" w:hanging="360"/>
      </w:pPr>
      <w:rPr>
        <w:rFonts w:hint="default"/>
      </w:rPr>
    </w:lvl>
    <w:lvl w:ilvl="1" w:tentative="0">
      <w:start w:val="1"/>
      <w:numFmt w:val="decimal"/>
      <w:pStyle w:val="3"/>
      <w:lvlText w:val="%1.%2."/>
      <w:lvlJc w:val="left"/>
      <w:pPr>
        <w:tabs>
          <w:tab w:val="left" w:pos="720"/>
        </w:tabs>
        <w:ind w:left="720" w:hanging="720"/>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216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3240"/>
        </w:tabs>
        <w:ind w:left="2736" w:hanging="936"/>
      </w:pPr>
      <w:rPr>
        <w:rFonts w:hint="default"/>
      </w:rPr>
    </w:lvl>
    <w:lvl w:ilvl="6" w:tentative="0">
      <w:start w:val="1"/>
      <w:numFmt w:val="decimal"/>
      <w:lvlText w:val="%1.%2.%3.%4.%5.%6.%7."/>
      <w:lvlJc w:val="left"/>
      <w:pPr>
        <w:tabs>
          <w:tab w:val="left" w:pos="3960"/>
        </w:tabs>
        <w:ind w:left="3240" w:hanging="1080"/>
      </w:pPr>
      <w:rPr>
        <w:rFonts w:hint="default"/>
      </w:rPr>
    </w:lvl>
    <w:lvl w:ilvl="7" w:tentative="0">
      <w:start w:val="1"/>
      <w:numFmt w:val="decimal"/>
      <w:lvlText w:val="%1.%2.%3.%4.%5.%6.%7.%8."/>
      <w:lvlJc w:val="left"/>
      <w:pPr>
        <w:tabs>
          <w:tab w:val="left" w:pos="4320"/>
        </w:tabs>
        <w:ind w:left="3744" w:hanging="1224"/>
      </w:pPr>
      <w:rPr>
        <w:rFonts w:hint="default"/>
      </w:rPr>
    </w:lvl>
    <w:lvl w:ilvl="8" w:tentative="0">
      <w:start w:val="1"/>
      <w:numFmt w:val="decimal"/>
      <w:lvlText w:val="%1.%2.%3.%4.%5.%6.%7.%8.%9."/>
      <w:lvlJc w:val="left"/>
      <w:pPr>
        <w:tabs>
          <w:tab w:val="left" w:pos="5040"/>
        </w:tabs>
        <w:ind w:left="4320" w:hanging="1440"/>
      </w:pPr>
      <w:rPr>
        <w:rFonts w:hint="default"/>
      </w:rPr>
    </w:lvl>
  </w:abstractNum>
  <w:abstractNum w:abstractNumId="1">
    <w:nsid w:val="321A4A69"/>
    <w:multiLevelType w:val="multilevel"/>
    <w:tmpl w:val="321A4A6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0DF73EC"/>
    <w:multiLevelType w:val="multilevel"/>
    <w:tmpl w:val="40DF73EC"/>
    <w:lvl w:ilvl="0" w:tentative="0">
      <w:start w:val="1"/>
      <w:numFmt w:val="decimal"/>
      <w:pStyle w:val="23"/>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8523305"/>
    <w:multiLevelType w:val="multilevel"/>
    <w:tmpl w:val="785233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hdrShapeDefaults>
    <o:shapelayout v:ext="edit">
      <o:idmap v:ext="edit" data="2"/>
    </o:shapelayout>
  </w:hdrShapeDefault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DAF"/>
    <w:rsid w:val="000012CD"/>
    <w:rsid w:val="00001A7E"/>
    <w:rsid w:val="0000632E"/>
    <w:rsid w:val="000217E2"/>
    <w:rsid w:val="000266CF"/>
    <w:rsid w:val="0003169F"/>
    <w:rsid w:val="00036BB6"/>
    <w:rsid w:val="000455B8"/>
    <w:rsid w:val="00046777"/>
    <w:rsid w:val="00047CFA"/>
    <w:rsid w:val="00050BEC"/>
    <w:rsid w:val="00051707"/>
    <w:rsid w:val="000531E0"/>
    <w:rsid w:val="00054B5C"/>
    <w:rsid w:val="000646FF"/>
    <w:rsid w:val="0006664F"/>
    <w:rsid w:val="000670C5"/>
    <w:rsid w:val="00070309"/>
    <w:rsid w:val="0007493C"/>
    <w:rsid w:val="00092351"/>
    <w:rsid w:val="000938C8"/>
    <w:rsid w:val="00093ACC"/>
    <w:rsid w:val="00093B9C"/>
    <w:rsid w:val="000A1125"/>
    <w:rsid w:val="000B35CD"/>
    <w:rsid w:val="000B794E"/>
    <w:rsid w:val="000C0868"/>
    <w:rsid w:val="000D2D29"/>
    <w:rsid w:val="000D6C85"/>
    <w:rsid w:val="000D7FD1"/>
    <w:rsid w:val="000E05BE"/>
    <w:rsid w:val="000E2872"/>
    <w:rsid w:val="000E62DD"/>
    <w:rsid w:val="0011269D"/>
    <w:rsid w:val="00113AF0"/>
    <w:rsid w:val="001177B5"/>
    <w:rsid w:val="00120BE3"/>
    <w:rsid w:val="00130CDC"/>
    <w:rsid w:val="0014255A"/>
    <w:rsid w:val="00142E7C"/>
    <w:rsid w:val="001475D3"/>
    <w:rsid w:val="00150DB9"/>
    <w:rsid w:val="00151BDF"/>
    <w:rsid w:val="001535E2"/>
    <w:rsid w:val="00160E18"/>
    <w:rsid w:val="00162B2A"/>
    <w:rsid w:val="00164DE8"/>
    <w:rsid w:val="0016569C"/>
    <w:rsid w:val="00174499"/>
    <w:rsid w:val="00174FA1"/>
    <w:rsid w:val="00182228"/>
    <w:rsid w:val="00183C90"/>
    <w:rsid w:val="00187EFC"/>
    <w:rsid w:val="001968B6"/>
    <w:rsid w:val="001A188E"/>
    <w:rsid w:val="001A706E"/>
    <w:rsid w:val="001B052A"/>
    <w:rsid w:val="001B3345"/>
    <w:rsid w:val="001B5D7F"/>
    <w:rsid w:val="001C0730"/>
    <w:rsid w:val="001C1A1E"/>
    <w:rsid w:val="001D2AB3"/>
    <w:rsid w:val="001D4A30"/>
    <w:rsid w:val="001E3D1A"/>
    <w:rsid w:val="001F0888"/>
    <w:rsid w:val="001F1769"/>
    <w:rsid w:val="001F2A48"/>
    <w:rsid w:val="001F7E7B"/>
    <w:rsid w:val="00200222"/>
    <w:rsid w:val="002059F5"/>
    <w:rsid w:val="00207C90"/>
    <w:rsid w:val="0021317B"/>
    <w:rsid w:val="00220FA0"/>
    <w:rsid w:val="00226837"/>
    <w:rsid w:val="00232A64"/>
    <w:rsid w:val="00233666"/>
    <w:rsid w:val="00233DD7"/>
    <w:rsid w:val="00234111"/>
    <w:rsid w:val="0024082B"/>
    <w:rsid w:val="00242AE9"/>
    <w:rsid w:val="00243FDC"/>
    <w:rsid w:val="00256315"/>
    <w:rsid w:val="0026318A"/>
    <w:rsid w:val="002637DC"/>
    <w:rsid w:val="00282DA8"/>
    <w:rsid w:val="00287923"/>
    <w:rsid w:val="0029340F"/>
    <w:rsid w:val="00295D0D"/>
    <w:rsid w:val="002A0AE1"/>
    <w:rsid w:val="002A550A"/>
    <w:rsid w:val="002B3764"/>
    <w:rsid w:val="002B6201"/>
    <w:rsid w:val="002B7DDD"/>
    <w:rsid w:val="002C5749"/>
    <w:rsid w:val="002D091C"/>
    <w:rsid w:val="002D5AA9"/>
    <w:rsid w:val="002D7E21"/>
    <w:rsid w:val="002E3C94"/>
    <w:rsid w:val="002E49CF"/>
    <w:rsid w:val="002E4A71"/>
    <w:rsid w:val="002F7101"/>
    <w:rsid w:val="00301BFA"/>
    <w:rsid w:val="0030589D"/>
    <w:rsid w:val="003076DF"/>
    <w:rsid w:val="003116E0"/>
    <w:rsid w:val="00317B96"/>
    <w:rsid w:val="00323116"/>
    <w:rsid w:val="00324D0C"/>
    <w:rsid w:val="0032588D"/>
    <w:rsid w:val="003279DA"/>
    <w:rsid w:val="00330ECA"/>
    <w:rsid w:val="003314A5"/>
    <w:rsid w:val="00331A7D"/>
    <w:rsid w:val="00331B08"/>
    <w:rsid w:val="00340A16"/>
    <w:rsid w:val="0034255A"/>
    <w:rsid w:val="00343566"/>
    <w:rsid w:val="00346C50"/>
    <w:rsid w:val="00351038"/>
    <w:rsid w:val="003515C7"/>
    <w:rsid w:val="00352D30"/>
    <w:rsid w:val="00356395"/>
    <w:rsid w:val="00360E3C"/>
    <w:rsid w:val="0036764C"/>
    <w:rsid w:val="00373F44"/>
    <w:rsid w:val="003754F0"/>
    <w:rsid w:val="0038060E"/>
    <w:rsid w:val="003845DF"/>
    <w:rsid w:val="00385240"/>
    <w:rsid w:val="00386BA6"/>
    <w:rsid w:val="00386D22"/>
    <w:rsid w:val="0038749B"/>
    <w:rsid w:val="003A04E7"/>
    <w:rsid w:val="003A70B2"/>
    <w:rsid w:val="003B56C4"/>
    <w:rsid w:val="003C0750"/>
    <w:rsid w:val="003C1769"/>
    <w:rsid w:val="003D2A3B"/>
    <w:rsid w:val="003D39AD"/>
    <w:rsid w:val="003D5F7A"/>
    <w:rsid w:val="003E3E85"/>
    <w:rsid w:val="003E4A69"/>
    <w:rsid w:val="003E5456"/>
    <w:rsid w:val="003E6541"/>
    <w:rsid w:val="003F0BBC"/>
    <w:rsid w:val="003F6022"/>
    <w:rsid w:val="00403765"/>
    <w:rsid w:val="004040CD"/>
    <w:rsid w:val="0040617E"/>
    <w:rsid w:val="00430ABB"/>
    <w:rsid w:val="00453C25"/>
    <w:rsid w:val="00455BDF"/>
    <w:rsid w:val="00456C48"/>
    <w:rsid w:val="004631E8"/>
    <w:rsid w:val="00470FE4"/>
    <w:rsid w:val="00472000"/>
    <w:rsid w:val="004721C8"/>
    <w:rsid w:val="00472C69"/>
    <w:rsid w:val="00475452"/>
    <w:rsid w:val="00486BBE"/>
    <w:rsid w:val="00487237"/>
    <w:rsid w:val="004874AF"/>
    <w:rsid w:val="00492505"/>
    <w:rsid w:val="004A3AFC"/>
    <w:rsid w:val="004A62ED"/>
    <w:rsid w:val="004A6D14"/>
    <w:rsid w:val="004C0271"/>
    <w:rsid w:val="004C2F93"/>
    <w:rsid w:val="004C3302"/>
    <w:rsid w:val="004C6CDC"/>
    <w:rsid w:val="004D038F"/>
    <w:rsid w:val="004D2AC6"/>
    <w:rsid w:val="004D6EF2"/>
    <w:rsid w:val="004D7F72"/>
    <w:rsid w:val="004E2634"/>
    <w:rsid w:val="004F14C6"/>
    <w:rsid w:val="004F2267"/>
    <w:rsid w:val="004F2EEF"/>
    <w:rsid w:val="004F33C8"/>
    <w:rsid w:val="004F4E0B"/>
    <w:rsid w:val="00500345"/>
    <w:rsid w:val="005047CE"/>
    <w:rsid w:val="005057EA"/>
    <w:rsid w:val="00506386"/>
    <w:rsid w:val="00506D46"/>
    <w:rsid w:val="005102F3"/>
    <w:rsid w:val="00511443"/>
    <w:rsid w:val="00511B9E"/>
    <w:rsid w:val="00516634"/>
    <w:rsid w:val="005207E5"/>
    <w:rsid w:val="00521D35"/>
    <w:rsid w:val="005225EB"/>
    <w:rsid w:val="00530B44"/>
    <w:rsid w:val="00531435"/>
    <w:rsid w:val="005357A8"/>
    <w:rsid w:val="00535A11"/>
    <w:rsid w:val="00540645"/>
    <w:rsid w:val="005575CC"/>
    <w:rsid w:val="00560F61"/>
    <w:rsid w:val="005642CD"/>
    <w:rsid w:val="0057062C"/>
    <w:rsid w:val="00573EDC"/>
    <w:rsid w:val="00580629"/>
    <w:rsid w:val="00580EC6"/>
    <w:rsid w:val="00581894"/>
    <w:rsid w:val="005B1E3C"/>
    <w:rsid w:val="005B292F"/>
    <w:rsid w:val="005B76A2"/>
    <w:rsid w:val="005C00D6"/>
    <w:rsid w:val="005C13F8"/>
    <w:rsid w:val="005C15F0"/>
    <w:rsid w:val="005C2228"/>
    <w:rsid w:val="005C5296"/>
    <w:rsid w:val="005E771C"/>
    <w:rsid w:val="005F156D"/>
    <w:rsid w:val="005F2018"/>
    <w:rsid w:val="005F2996"/>
    <w:rsid w:val="005F2E1E"/>
    <w:rsid w:val="006004A6"/>
    <w:rsid w:val="0060052A"/>
    <w:rsid w:val="00604487"/>
    <w:rsid w:val="006073C7"/>
    <w:rsid w:val="006074A9"/>
    <w:rsid w:val="00610133"/>
    <w:rsid w:val="00615882"/>
    <w:rsid w:val="00616137"/>
    <w:rsid w:val="00621506"/>
    <w:rsid w:val="006251FD"/>
    <w:rsid w:val="00627448"/>
    <w:rsid w:val="00632A81"/>
    <w:rsid w:val="006338C7"/>
    <w:rsid w:val="00633B21"/>
    <w:rsid w:val="0064024A"/>
    <w:rsid w:val="006405F1"/>
    <w:rsid w:val="0064371F"/>
    <w:rsid w:val="00646936"/>
    <w:rsid w:val="00670D6A"/>
    <w:rsid w:val="00675793"/>
    <w:rsid w:val="00677534"/>
    <w:rsid w:val="006801AA"/>
    <w:rsid w:val="00680334"/>
    <w:rsid w:val="006933A9"/>
    <w:rsid w:val="006A786F"/>
    <w:rsid w:val="006B318B"/>
    <w:rsid w:val="006B73FC"/>
    <w:rsid w:val="006C0EFD"/>
    <w:rsid w:val="006C35F3"/>
    <w:rsid w:val="006C3CF6"/>
    <w:rsid w:val="006D10D9"/>
    <w:rsid w:val="006D65D7"/>
    <w:rsid w:val="006E00AE"/>
    <w:rsid w:val="006E2DC7"/>
    <w:rsid w:val="006E2FA0"/>
    <w:rsid w:val="006E3297"/>
    <w:rsid w:val="006F5BC8"/>
    <w:rsid w:val="007069CE"/>
    <w:rsid w:val="00713E51"/>
    <w:rsid w:val="00721B47"/>
    <w:rsid w:val="007243EC"/>
    <w:rsid w:val="007327AA"/>
    <w:rsid w:val="00732CF4"/>
    <w:rsid w:val="00745261"/>
    <w:rsid w:val="00751ACA"/>
    <w:rsid w:val="00754A64"/>
    <w:rsid w:val="0075766F"/>
    <w:rsid w:val="00760A38"/>
    <w:rsid w:val="00760DF5"/>
    <w:rsid w:val="00762ED7"/>
    <w:rsid w:val="00770EF2"/>
    <w:rsid w:val="0077298D"/>
    <w:rsid w:val="00773E3D"/>
    <w:rsid w:val="007852A0"/>
    <w:rsid w:val="00791176"/>
    <w:rsid w:val="00793507"/>
    <w:rsid w:val="00793F89"/>
    <w:rsid w:val="00797296"/>
    <w:rsid w:val="00797E11"/>
    <w:rsid w:val="007A06F2"/>
    <w:rsid w:val="007A0B66"/>
    <w:rsid w:val="007A536E"/>
    <w:rsid w:val="007A61BB"/>
    <w:rsid w:val="007B40D2"/>
    <w:rsid w:val="007B53E2"/>
    <w:rsid w:val="007C569E"/>
    <w:rsid w:val="007D1F05"/>
    <w:rsid w:val="008023CC"/>
    <w:rsid w:val="008126DA"/>
    <w:rsid w:val="00822784"/>
    <w:rsid w:val="00824EF2"/>
    <w:rsid w:val="008251E3"/>
    <w:rsid w:val="00825677"/>
    <w:rsid w:val="008368E9"/>
    <w:rsid w:val="00840352"/>
    <w:rsid w:val="00845FD7"/>
    <w:rsid w:val="0084735D"/>
    <w:rsid w:val="00847C84"/>
    <w:rsid w:val="008509DD"/>
    <w:rsid w:val="00851AF4"/>
    <w:rsid w:val="00853DFA"/>
    <w:rsid w:val="00854AF7"/>
    <w:rsid w:val="0086061D"/>
    <w:rsid w:val="00861610"/>
    <w:rsid w:val="00863478"/>
    <w:rsid w:val="00863ED9"/>
    <w:rsid w:val="008701A1"/>
    <w:rsid w:val="008725A3"/>
    <w:rsid w:val="00877121"/>
    <w:rsid w:val="00877B0C"/>
    <w:rsid w:val="00891AC0"/>
    <w:rsid w:val="00894002"/>
    <w:rsid w:val="008A5E1E"/>
    <w:rsid w:val="008C24AB"/>
    <w:rsid w:val="008D0726"/>
    <w:rsid w:val="008D2943"/>
    <w:rsid w:val="008D4841"/>
    <w:rsid w:val="008D7F38"/>
    <w:rsid w:val="008E03A4"/>
    <w:rsid w:val="008E0C82"/>
    <w:rsid w:val="008E491A"/>
    <w:rsid w:val="008E4B94"/>
    <w:rsid w:val="008E7D03"/>
    <w:rsid w:val="008F4AB8"/>
    <w:rsid w:val="008F73CC"/>
    <w:rsid w:val="00900742"/>
    <w:rsid w:val="009009B7"/>
    <w:rsid w:val="00902914"/>
    <w:rsid w:val="00905443"/>
    <w:rsid w:val="00907AA9"/>
    <w:rsid w:val="00911016"/>
    <w:rsid w:val="0091170E"/>
    <w:rsid w:val="00916855"/>
    <w:rsid w:val="00920146"/>
    <w:rsid w:val="0092143A"/>
    <w:rsid w:val="00923127"/>
    <w:rsid w:val="009329F6"/>
    <w:rsid w:val="00934EDC"/>
    <w:rsid w:val="009373C0"/>
    <w:rsid w:val="00940989"/>
    <w:rsid w:val="009439A0"/>
    <w:rsid w:val="00946084"/>
    <w:rsid w:val="009475CB"/>
    <w:rsid w:val="0095285A"/>
    <w:rsid w:val="009531CD"/>
    <w:rsid w:val="009609A5"/>
    <w:rsid w:val="00962FBA"/>
    <w:rsid w:val="009707A6"/>
    <w:rsid w:val="00972F20"/>
    <w:rsid w:val="0097435D"/>
    <w:rsid w:val="00977590"/>
    <w:rsid w:val="0098093B"/>
    <w:rsid w:val="00990EB6"/>
    <w:rsid w:val="00992118"/>
    <w:rsid w:val="00997EA2"/>
    <w:rsid w:val="009A08CC"/>
    <w:rsid w:val="009A1779"/>
    <w:rsid w:val="009A5776"/>
    <w:rsid w:val="009B13D2"/>
    <w:rsid w:val="009B3C01"/>
    <w:rsid w:val="009B460C"/>
    <w:rsid w:val="009D28A6"/>
    <w:rsid w:val="009E031E"/>
    <w:rsid w:val="009E49A6"/>
    <w:rsid w:val="009E59FF"/>
    <w:rsid w:val="009F15BE"/>
    <w:rsid w:val="009F2B10"/>
    <w:rsid w:val="00A03279"/>
    <w:rsid w:val="00A0473C"/>
    <w:rsid w:val="00A25746"/>
    <w:rsid w:val="00A25A18"/>
    <w:rsid w:val="00A2750B"/>
    <w:rsid w:val="00A31BA4"/>
    <w:rsid w:val="00A3236E"/>
    <w:rsid w:val="00A46B4E"/>
    <w:rsid w:val="00A4725C"/>
    <w:rsid w:val="00A55545"/>
    <w:rsid w:val="00A56161"/>
    <w:rsid w:val="00A6095D"/>
    <w:rsid w:val="00A62613"/>
    <w:rsid w:val="00A66DAE"/>
    <w:rsid w:val="00A67962"/>
    <w:rsid w:val="00A67EF1"/>
    <w:rsid w:val="00A71ADC"/>
    <w:rsid w:val="00A912C3"/>
    <w:rsid w:val="00AA2777"/>
    <w:rsid w:val="00AA3D36"/>
    <w:rsid w:val="00AA64AF"/>
    <w:rsid w:val="00AA7C21"/>
    <w:rsid w:val="00AB1CB0"/>
    <w:rsid w:val="00AB264C"/>
    <w:rsid w:val="00AB3AF2"/>
    <w:rsid w:val="00AB5124"/>
    <w:rsid w:val="00AB5BAA"/>
    <w:rsid w:val="00AB5BFB"/>
    <w:rsid w:val="00AB652F"/>
    <w:rsid w:val="00AC527F"/>
    <w:rsid w:val="00AC7004"/>
    <w:rsid w:val="00AD400C"/>
    <w:rsid w:val="00AE090E"/>
    <w:rsid w:val="00AF1089"/>
    <w:rsid w:val="00AF56E0"/>
    <w:rsid w:val="00AF5FEB"/>
    <w:rsid w:val="00B12D40"/>
    <w:rsid w:val="00B178A6"/>
    <w:rsid w:val="00B30595"/>
    <w:rsid w:val="00B30B24"/>
    <w:rsid w:val="00B312F3"/>
    <w:rsid w:val="00B37B1F"/>
    <w:rsid w:val="00B37D0D"/>
    <w:rsid w:val="00B405EF"/>
    <w:rsid w:val="00B43D42"/>
    <w:rsid w:val="00B56DCB"/>
    <w:rsid w:val="00B60248"/>
    <w:rsid w:val="00B62CDC"/>
    <w:rsid w:val="00B6468B"/>
    <w:rsid w:val="00B651CE"/>
    <w:rsid w:val="00B65DEB"/>
    <w:rsid w:val="00B73BCA"/>
    <w:rsid w:val="00B747A4"/>
    <w:rsid w:val="00B76AEC"/>
    <w:rsid w:val="00B77313"/>
    <w:rsid w:val="00B81C80"/>
    <w:rsid w:val="00B83007"/>
    <w:rsid w:val="00B85F56"/>
    <w:rsid w:val="00B91C8E"/>
    <w:rsid w:val="00BA1490"/>
    <w:rsid w:val="00BA6CD5"/>
    <w:rsid w:val="00BB1F6A"/>
    <w:rsid w:val="00BB69C3"/>
    <w:rsid w:val="00BB73D0"/>
    <w:rsid w:val="00BC39A3"/>
    <w:rsid w:val="00BC72BF"/>
    <w:rsid w:val="00BC7BD1"/>
    <w:rsid w:val="00BD1FC8"/>
    <w:rsid w:val="00BD52BC"/>
    <w:rsid w:val="00BE2159"/>
    <w:rsid w:val="00BE5414"/>
    <w:rsid w:val="00BE63B0"/>
    <w:rsid w:val="00BF09E4"/>
    <w:rsid w:val="00BF114A"/>
    <w:rsid w:val="00BF5CED"/>
    <w:rsid w:val="00BF7D8F"/>
    <w:rsid w:val="00C019C4"/>
    <w:rsid w:val="00C02DE7"/>
    <w:rsid w:val="00C061F8"/>
    <w:rsid w:val="00C06BCF"/>
    <w:rsid w:val="00C07BF9"/>
    <w:rsid w:val="00C24DEC"/>
    <w:rsid w:val="00C27DAF"/>
    <w:rsid w:val="00C30FF0"/>
    <w:rsid w:val="00C423A1"/>
    <w:rsid w:val="00C47167"/>
    <w:rsid w:val="00C52E8E"/>
    <w:rsid w:val="00C531D9"/>
    <w:rsid w:val="00C54EA1"/>
    <w:rsid w:val="00C615C5"/>
    <w:rsid w:val="00C65DD3"/>
    <w:rsid w:val="00C66051"/>
    <w:rsid w:val="00C670AF"/>
    <w:rsid w:val="00C72FC1"/>
    <w:rsid w:val="00C818E2"/>
    <w:rsid w:val="00C85432"/>
    <w:rsid w:val="00C85EA7"/>
    <w:rsid w:val="00C930F9"/>
    <w:rsid w:val="00C94944"/>
    <w:rsid w:val="00C951F6"/>
    <w:rsid w:val="00CA3FB6"/>
    <w:rsid w:val="00CB036D"/>
    <w:rsid w:val="00CB0870"/>
    <w:rsid w:val="00CB0C74"/>
    <w:rsid w:val="00CB3104"/>
    <w:rsid w:val="00CB5A53"/>
    <w:rsid w:val="00CB6BBE"/>
    <w:rsid w:val="00CC012B"/>
    <w:rsid w:val="00CC0559"/>
    <w:rsid w:val="00CD24DC"/>
    <w:rsid w:val="00CD2F26"/>
    <w:rsid w:val="00CD6FF8"/>
    <w:rsid w:val="00CE6B9C"/>
    <w:rsid w:val="00CE7F7C"/>
    <w:rsid w:val="00CF3279"/>
    <w:rsid w:val="00D03C2F"/>
    <w:rsid w:val="00D1090C"/>
    <w:rsid w:val="00D109BC"/>
    <w:rsid w:val="00D11995"/>
    <w:rsid w:val="00D1623B"/>
    <w:rsid w:val="00D241F9"/>
    <w:rsid w:val="00D26303"/>
    <w:rsid w:val="00D26AE4"/>
    <w:rsid w:val="00D32E24"/>
    <w:rsid w:val="00D41EF4"/>
    <w:rsid w:val="00D437D6"/>
    <w:rsid w:val="00D52F83"/>
    <w:rsid w:val="00D603CF"/>
    <w:rsid w:val="00D6217D"/>
    <w:rsid w:val="00D6280B"/>
    <w:rsid w:val="00D62A6C"/>
    <w:rsid w:val="00D643E8"/>
    <w:rsid w:val="00D66D09"/>
    <w:rsid w:val="00D77BC4"/>
    <w:rsid w:val="00D846E6"/>
    <w:rsid w:val="00D85507"/>
    <w:rsid w:val="00D855D3"/>
    <w:rsid w:val="00DA35DF"/>
    <w:rsid w:val="00DA5ADF"/>
    <w:rsid w:val="00DB3AFD"/>
    <w:rsid w:val="00DB3FC6"/>
    <w:rsid w:val="00DB581A"/>
    <w:rsid w:val="00DB5B03"/>
    <w:rsid w:val="00DC073C"/>
    <w:rsid w:val="00DC2B1E"/>
    <w:rsid w:val="00DD2AD2"/>
    <w:rsid w:val="00DD7967"/>
    <w:rsid w:val="00DE06CB"/>
    <w:rsid w:val="00DE37AB"/>
    <w:rsid w:val="00DE4431"/>
    <w:rsid w:val="00DE6004"/>
    <w:rsid w:val="00DF6C9B"/>
    <w:rsid w:val="00E04BFD"/>
    <w:rsid w:val="00E14474"/>
    <w:rsid w:val="00E16DEB"/>
    <w:rsid w:val="00E17258"/>
    <w:rsid w:val="00E178FB"/>
    <w:rsid w:val="00E213F6"/>
    <w:rsid w:val="00E23908"/>
    <w:rsid w:val="00E25507"/>
    <w:rsid w:val="00E27114"/>
    <w:rsid w:val="00E275C4"/>
    <w:rsid w:val="00E52361"/>
    <w:rsid w:val="00E525DC"/>
    <w:rsid w:val="00E552C6"/>
    <w:rsid w:val="00E62B94"/>
    <w:rsid w:val="00E6386B"/>
    <w:rsid w:val="00E67EB5"/>
    <w:rsid w:val="00E7121D"/>
    <w:rsid w:val="00E74B08"/>
    <w:rsid w:val="00E8042B"/>
    <w:rsid w:val="00E81E80"/>
    <w:rsid w:val="00E85B3E"/>
    <w:rsid w:val="00E91E41"/>
    <w:rsid w:val="00E944D7"/>
    <w:rsid w:val="00E97115"/>
    <w:rsid w:val="00EA7EEF"/>
    <w:rsid w:val="00EB15A2"/>
    <w:rsid w:val="00EB3655"/>
    <w:rsid w:val="00EB5806"/>
    <w:rsid w:val="00EC500F"/>
    <w:rsid w:val="00ED0BA4"/>
    <w:rsid w:val="00ED6FE9"/>
    <w:rsid w:val="00EE27E2"/>
    <w:rsid w:val="00EE6C4A"/>
    <w:rsid w:val="00EF1452"/>
    <w:rsid w:val="00EF3C2D"/>
    <w:rsid w:val="00F011AC"/>
    <w:rsid w:val="00F02475"/>
    <w:rsid w:val="00F04FDC"/>
    <w:rsid w:val="00F11252"/>
    <w:rsid w:val="00F17574"/>
    <w:rsid w:val="00F222CF"/>
    <w:rsid w:val="00F25A45"/>
    <w:rsid w:val="00F26AAF"/>
    <w:rsid w:val="00F2727B"/>
    <w:rsid w:val="00F27C0F"/>
    <w:rsid w:val="00F32367"/>
    <w:rsid w:val="00F338DF"/>
    <w:rsid w:val="00F37244"/>
    <w:rsid w:val="00F42B36"/>
    <w:rsid w:val="00F4328F"/>
    <w:rsid w:val="00F52532"/>
    <w:rsid w:val="00F61FAA"/>
    <w:rsid w:val="00F67AEB"/>
    <w:rsid w:val="00F72C72"/>
    <w:rsid w:val="00F7633B"/>
    <w:rsid w:val="00F769C7"/>
    <w:rsid w:val="00F80BE0"/>
    <w:rsid w:val="00F8335C"/>
    <w:rsid w:val="00F85D4B"/>
    <w:rsid w:val="00F86DCE"/>
    <w:rsid w:val="00FA2F30"/>
    <w:rsid w:val="00FB4034"/>
    <w:rsid w:val="00FB5693"/>
    <w:rsid w:val="00FB5F95"/>
    <w:rsid w:val="00FB7322"/>
    <w:rsid w:val="00FD0309"/>
    <w:rsid w:val="00FE1C3E"/>
    <w:rsid w:val="00FE2A78"/>
    <w:rsid w:val="00FE31AD"/>
    <w:rsid w:val="00FF00E8"/>
    <w:rsid w:val="00FF2CBA"/>
    <w:rsid w:val="FE782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spacing w:after="80"/>
      <w:jc w:val="both"/>
      <w:textAlignment w:val="baseline"/>
    </w:pPr>
    <w:rPr>
      <w:rFonts w:ascii="Times New Roman" w:hAnsi="Times New Roman" w:eastAsia="宋体" w:cs="Times New Roman"/>
      <w:sz w:val="18"/>
      <w:lang w:val="en-US" w:eastAsia="ko-KR" w:bidi="ar-SA"/>
    </w:rPr>
  </w:style>
  <w:style w:type="paragraph" w:styleId="2">
    <w:name w:val="heading 1"/>
    <w:basedOn w:val="1"/>
    <w:next w:val="1"/>
    <w:link w:val="22"/>
    <w:qFormat/>
    <w:uiPriority w:val="0"/>
    <w:pPr>
      <w:keepNext/>
      <w:numPr>
        <w:ilvl w:val="0"/>
        <w:numId w:val="1"/>
      </w:numPr>
      <w:spacing w:before="120" w:after="0"/>
      <w:jc w:val="left"/>
      <w:outlineLvl w:val="0"/>
    </w:pPr>
    <w:rPr>
      <w:b/>
      <w:kern w:val="28"/>
      <w:sz w:val="24"/>
    </w:rPr>
  </w:style>
  <w:style w:type="paragraph" w:styleId="3">
    <w:name w:val="heading 2"/>
    <w:basedOn w:val="2"/>
    <w:next w:val="1"/>
    <w:qFormat/>
    <w:uiPriority w:val="0"/>
    <w:pPr>
      <w:numPr>
        <w:ilvl w:val="1"/>
      </w:numPr>
      <w:outlineLvl w:val="1"/>
    </w:pPr>
    <w:rPr>
      <w:sz w:val="22"/>
    </w:rPr>
  </w:style>
  <w:style w:type="paragraph" w:styleId="4">
    <w:name w:val="heading 3"/>
    <w:basedOn w:val="3"/>
    <w:next w:val="1"/>
    <w:qFormat/>
    <w:uiPriority w:val="0"/>
    <w:pPr>
      <w:numPr>
        <w:ilvl w:val="2"/>
      </w:numPr>
      <w:outlineLvl w:val="2"/>
    </w:pPr>
    <w:rPr>
      <w:b w:val="0"/>
      <w:i/>
    </w:rPr>
  </w:style>
  <w:style w:type="paragraph" w:styleId="5">
    <w:name w:val="heading 4"/>
    <w:basedOn w:val="1"/>
    <w:next w:val="1"/>
    <w:link w:val="3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caption"/>
    <w:basedOn w:val="1"/>
    <w:next w:val="1"/>
    <w:qFormat/>
    <w:uiPriority w:val="0"/>
    <w:pPr>
      <w:jc w:val="center"/>
    </w:pPr>
    <w:rPr>
      <w:rFonts w:ascii="Arial" w:hAnsi="Arial"/>
      <w:b/>
    </w:rPr>
  </w:style>
  <w:style w:type="paragraph" w:styleId="7">
    <w:name w:val="Body Text 3"/>
    <w:basedOn w:val="1"/>
    <w:uiPriority w:val="0"/>
    <w:pPr>
      <w:spacing w:after="120"/>
    </w:pPr>
    <w:rPr>
      <w:sz w:val="16"/>
      <w:szCs w:val="16"/>
    </w:rPr>
  </w:style>
  <w:style w:type="paragraph" w:styleId="8">
    <w:name w:val="Body Text"/>
    <w:basedOn w:val="1"/>
    <w:uiPriority w:val="0"/>
    <w:pPr>
      <w:widowControl/>
      <w:overflowPunct/>
      <w:autoSpaceDE/>
      <w:autoSpaceDN/>
      <w:adjustRightInd/>
      <w:spacing w:after="0"/>
      <w:jc w:val="left"/>
      <w:textAlignment w:val="auto"/>
    </w:pPr>
    <w:rPr>
      <w:rFonts w:ascii="Helvetica" w:hAnsi="Helvetica"/>
      <w:spacing w:val="-2"/>
      <w:szCs w:val="24"/>
      <w:lang w:eastAsia="en-US"/>
    </w:rPr>
  </w:style>
  <w:style w:type="paragraph" w:styleId="9">
    <w:name w:val="Balloon Text"/>
    <w:basedOn w:val="1"/>
    <w:link w:val="27"/>
    <w:uiPriority w:val="0"/>
    <w:pPr>
      <w:spacing w:after="0"/>
    </w:pPr>
    <w:rPr>
      <w:rFonts w:ascii="Tahoma" w:hAnsi="Tahoma" w:cs="Tahoma"/>
      <w:sz w:val="16"/>
      <w:szCs w:val="16"/>
    </w:rPr>
  </w:style>
  <w:style w:type="paragraph" w:styleId="10">
    <w:name w:val="footer"/>
    <w:basedOn w:val="1"/>
    <w:link w:val="21"/>
    <w:unhideWhenUsed/>
    <w:uiPriority w:val="0"/>
    <w:pPr>
      <w:tabs>
        <w:tab w:val="center" w:pos="4680"/>
        <w:tab w:val="right" w:pos="9360"/>
      </w:tabs>
    </w:pPr>
  </w:style>
  <w:style w:type="paragraph" w:styleId="11">
    <w:name w:val="header"/>
    <w:basedOn w:val="1"/>
    <w:link w:val="20"/>
    <w:unhideWhenUsed/>
    <w:uiPriority w:val="0"/>
    <w:pPr>
      <w:tabs>
        <w:tab w:val="center" w:pos="4680"/>
        <w:tab w:val="right" w:pos="9360"/>
      </w:tabs>
    </w:pPr>
  </w:style>
  <w:style w:type="paragraph" w:styleId="12">
    <w:name w:val="toc 1"/>
    <w:basedOn w:val="1"/>
    <w:next w:val="1"/>
    <w:autoRedefine/>
    <w:unhideWhenUsed/>
    <w:uiPriority w:val="39"/>
  </w:style>
  <w:style w:type="paragraph" w:styleId="13">
    <w:name w:val="HTML Preformatted"/>
    <w:basedOn w:val="1"/>
    <w:link w:val="28"/>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eastAsia="Calibri" w:cs="Courier New"/>
      <w:sz w:val="20"/>
      <w:lang w:eastAsia="en-US"/>
    </w:rPr>
  </w:style>
  <w:style w:type="paragraph" w:styleId="14">
    <w:name w:val="Title"/>
    <w:basedOn w:val="1"/>
    <w:qFormat/>
    <w:uiPriority w:val="0"/>
    <w:pPr>
      <w:widowControl/>
      <w:overflowPunct/>
      <w:autoSpaceDE/>
      <w:autoSpaceDN/>
      <w:adjustRightInd/>
      <w:spacing w:after="0"/>
      <w:jc w:val="center"/>
      <w:textAlignment w:val="auto"/>
    </w:pPr>
    <w:rPr>
      <w:rFonts w:ascii="Helvetica" w:hAnsi="Helvetica"/>
      <w:b/>
      <w:bCs/>
      <w:spacing w:val="-2"/>
      <w:sz w:val="20"/>
      <w:szCs w:val="24"/>
      <w:lang w:eastAsia="en-US"/>
    </w:rPr>
  </w:style>
  <w:style w:type="table" w:styleId="16">
    <w:name w:val="Table Grid"/>
    <w:basedOn w:val="1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uiPriority w:val="99"/>
    <w:rPr>
      <w:color w:val="0000FF"/>
      <w:u w:val="single"/>
    </w:rPr>
  </w:style>
  <w:style w:type="character" w:customStyle="1" w:styleId="20">
    <w:name w:val="页眉 Char"/>
    <w:link w:val="11"/>
    <w:uiPriority w:val="0"/>
    <w:rPr>
      <w:sz w:val="18"/>
      <w:lang w:val="en-US" w:eastAsia="ko-KR" w:bidi="ar-SA"/>
    </w:rPr>
  </w:style>
  <w:style w:type="character" w:customStyle="1" w:styleId="21">
    <w:name w:val="页脚 Char"/>
    <w:link w:val="10"/>
    <w:uiPriority w:val="0"/>
    <w:rPr>
      <w:sz w:val="18"/>
      <w:lang w:val="en-US" w:eastAsia="ko-KR" w:bidi="ar-SA"/>
    </w:rPr>
  </w:style>
  <w:style w:type="character" w:customStyle="1" w:styleId="22">
    <w:name w:val="标题 1 Char"/>
    <w:link w:val="2"/>
    <w:uiPriority w:val="0"/>
    <w:rPr>
      <w:b/>
      <w:kern w:val="28"/>
      <w:sz w:val="24"/>
      <w:lang w:val="en-US" w:eastAsia="ko-KR" w:bidi="ar-SA"/>
    </w:rPr>
  </w:style>
  <w:style w:type="paragraph" w:customStyle="1" w:styleId="23">
    <w:name w:val="References"/>
    <w:basedOn w:val="1"/>
    <w:uiPriority w:val="0"/>
    <w:pPr>
      <w:numPr>
        <w:ilvl w:val="0"/>
        <w:numId w:val="2"/>
      </w:numPr>
      <w:jc w:val="left"/>
    </w:pPr>
  </w:style>
  <w:style w:type="paragraph" w:customStyle="1" w:styleId="24">
    <w:name w:val="Author"/>
    <w:basedOn w:val="1"/>
    <w:uiPriority w:val="0"/>
    <w:pPr>
      <w:spacing w:before="60" w:after="0"/>
      <w:jc w:val="center"/>
    </w:pPr>
    <w:rPr>
      <w:rFonts w:ascii="Helvetica" w:hAnsi="Helvetica"/>
      <w:b/>
      <w:i/>
      <w:spacing w:val="-4"/>
      <w:sz w:val="24"/>
    </w:rPr>
  </w:style>
  <w:style w:type="character" w:customStyle="1" w:styleId="25">
    <w:name w:val="Abstract"/>
    <w:uiPriority w:val="0"/>
    <w:rPr>
      <w:rFonts w:ascii="Arial" w:hAnsi="Arial"/>
      <w:b/>
      <w:iCs/>
      <w:spacing w:val="-2"/>
      <w:sz w:val="20"/>
      <w:szCs w:val="24"/>
      <w:lang w:val="en-US" w:eastAsia="en-US" w:bidi="ar-SA"/>
    </w:rPr>
  </w:style>
  <w:style w:type="paragraph" w:customStyle="1" w:styleId="26">
    <w:name w:val="Affiliations"/>
    <w:basedOn w:val="1"/>
    <w:uiPriority w:val="0"/>
    <w:pPr>
      <w:jc w:val="center"/>
    </w:pPr>
    <w:rPr>
      <w:rFonts w:ascii="Helvetica" w:hAnsi="Helvetica" w:eastAsia="MS Mincho"/>
      <w:b/>
      <w:sz w:val="20"/>
    </w:rPr>
  </w:style>
  <w:style w:type="character" w:customStyle="1" w:styleId="27">
    <w:name w:val="批注框文本 Char"/>
    <w:link w:val="9"/>
    <w:uiPriority w:val="0"/>
    <w:rPr>
      <w:rFonts w:ascii="Tahoma" w:hAnsi="Tahoma" w:cs="Tahoma"/>
      <w:sz w:val="16"/>
      <w:szCs w:val="16"/>
      <w:lang w:eastAsia="ko-KR"/>
    </w:rPr>
  </w:style>
  <w:style w:type="character" w:customStyle="1" w:styleId="28">
    <w:name w:val="HTML 预设格式 Char"/>
    <w:link w:val="13"/>
    <w:uiPriority w:val="99"/>
    <w:rPr>
      <w:rFonts w:ascii="Courier New" w:hAnsi="Courier New" w:eastAsia="Calibri" w:cs="Courier New"/>
    </w:rPr>
  </w:style>
  <w:style w:type="paragraph" w:styleId="29">
    <w:name w:val="List Paragraph"/>
    <w:basedOn w:val="1"/>
    <w:qFormat/>
    <w:uiPriority w:val="34"/>
    <w:pPr>
      <w:widowControl/>
      <w:overflowPunct/>
      <w:autoSpaceDE/>
      <w:autoSpaceDN/>
      <w:adjustRightInd/>
      <w:spacing w:after="0"/>
      <w:ind w:left="720"/>
      <w:jc w:val="left"/>
      <w:textAlignment w:val="auto"/>
    </w:pPr>
    <w:rPr>
      <w:rFonts w:ascii="Calibri" w:hAnsi="Calibri" w:eastAsia="Calibri" w:cs="Calibri"/>
      <w:sz w:val="22"/>
      <w:szCs w:val="22"/>
      <w:lang w:eastAsia="en-US"/>
    </w:rPr>
  </w:style>
  <w:style w:type="paragraph" w:customStyle="1" w:styleId="30">
    <w:name w:val="tgt"/>
    <w:basedOn w:val="1"/>
    <w:uiPriority w:val="0"/>
    <w:pPr>
      <w:widowControl/>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customStyle="1" w:styleId="31">
    <w:name w:val="tgt1"/>
    <w:basedOn w:val="17"/>
    <w:uiPriority w:val="0"/>
  </w:style>
  <w:style w:type="character" w:customStyle="1" w:styleId="32">
    <w:name w:val="标题 4 Char"/>
    <w:basedOn w:val="17"/>
    <w:link w:val="5"/>
    <w:semiHidden/>
    <w:uiPriority w:val="0"/>
    <w:rPr>
      <w:rFonts w:asciiTheme="majorHAnsi" w:hAnsiTheme="majorHAnsi" w:eastAsiaTheme="majorEastAsia" w:cstheme="majorBidi"/>
      <w:b/>
      <w:bCs/>
      <w:sz w:val="28"/>
      <w:szCs w:val="28"/>
      <w:lang w:eastAsia="ko-KR"/>
    </w:rPr>
  </w:style>
  <w:style w:type="character" w:styleId="33">
    <w:name w:val="Placeholder Text"/>
    <w:basedOn w:val="17"/>
    <w:semiHidden/>
    <w:uiPriority w:val="99"/>
    <w:rPr>
      <w:color w:val="808080"/>
    </w:rPr>
  </w:style>
  <w:style w:type="table" w:customStyle="1" w:styleId="34">
    <w:name w:val="网格型1"/>
    <w:basedOn w:val="15"/>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
    <w:name w:val="TOC Heading"/>
    <w:basedOn w:val="2"/>
    <w:next w:val="1"/>
    <w:unhideWhenUsed/>
    <w:qFormat/>
    <w:uiPriority w:val="39"/>
    <w:pPr>
      <w:keepLines/>
      <w:widowControl/>
      <w:numPr>
        <w:numId w:val="0"/>
      </w:numPr>
      <w:overflowPunct/>
      <w:autoSpaceDE/>
      <w:autoSpaceDN/>
      <w:adjustRightInd/>
      <w:spacing w:before="240" w:line="259" w:lineRule="auto"/>
      <w:textAlignment w:val="auto"/>
      <w:outlineLvl w:val="9"/>
    </w:pPr>
    <w:rPr>
      <w:rFonts w:asciiTheme="majorHAnsi" w:hAnsiTheme="majorHAnsi" w:eastAsiaTheme="majorEastAsia" w:cstheme="majorBidi"/>
      <w:b w:val="0"/>
      <w:color w:val="376092" w:themeColor="accent1" w:themeShade="BF"/>
      <w:kern w:val="0"/>
      <w:sz w:val="32"/>
      <w:szCs w:val="32"/>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png"/><Relationship Id="rId17" Type="http://schemas.openxmlformats.org/officeDocument/2006/relationships/image" Target="media/image7.jpe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E84237-1480-4DF3-8761-33A3CA0D0161}">
  <ds:schemaRefs/>
</ds:datastoreItem>
</file>

<file path=docProps/app.xml><?xml version="1.0" encoding="utf-8"?>
<Properties xmlns="http://schemas.openxmlformats.org/officeDocument/2006/extended-properties" xmlns:vt="http://schemas.openxmlformats.org/officeDocument/2006/docPropsVTypes">
  <Template>Normal</Template>
  <Company>Sheridan Printing</Company>
  <Pages>3</Pages>
  <Words>2008</Words>
  <Characters>11448</Characters>
  <Lines>95</Lines>
  <Paragraphs>26</Paragraphs>
  <TotalTime>2942</TotalTime>
  <ScaleCrop>false</ScaleCrop>
  <LinksUpToDate>false</LinksUpToDate>
  <CharactersWithSpaces>13430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2025-10-10T08:29:00Z</dcterms:created>
  <dc:creator>钟思凡</dc:creator>
  <cp:lastModifiedBy>书一</cp:lastModifiedBy>
  <cp:lastPrinted>2025-11-28T10:13:00Z</cp:lastPrinted>
  <dcterms:modified xsi:type="dcterms:W3CDTF">2026-05-01T19:18:51Z</dcterms:modified>
  <dc:title>session#-paper#</dc:title>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TSOBJ">
    <vt:lpwstr>NTNjZmY1MjJ8NjkyOTFkMWMyZDI4ZjMzYTYwNDQ2NjMwfDY3MzE5OGRiNjYwNTI1ZjVlNDc2MThmOHw2OTBkYjcyNjA0NWRlZDdkNmM1ZTQ4NTV8NDcwNHw1fDh8YTEzMTRkODM=</vt:lpwstr>
  </property>
  <property fmtid="{D5CDD505-2E9C-101B-9397-08002B2CF9AE}" pid="3" name="GSEDS_WMEXP_e415fab7">
    <vt:lpwstr>e415fab7_22e4d665_601297a8</vt:lpwstr>
  </property>
  <property fmtid="{D5CDD505-2E9C-101B-9397-08002B2CF9AE}" pid="4" name="GSEDS_TWMT">
    <vt:lpwstr>e415fab7_0fd563e3_a395cab3b22c5bcb2dd0a89b0b8ede79c4504e23b1974f667b6bde7e58f202ef</vt:lpwstr>
  </property>
  <property fmtid="{D5CDD505-2E9C-101B-9397-08002B2CF9AE}" pid="5" name="KSOProductBuildVer">
    <vt:lpwstr>2052-12.1.24031.24031</vt:lpwstr>
  </property>
  <property fmtid="{D5CDD505-2E9C-101B-9397-08002B2CF9AE}" pid="6" name="ICV">
    <vt:lpwstr>43850155466D0A8F1B8CF4694B9FD1D6_42</vt:lpwstr>
  </property>
</Properties>
</file>